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6D6BC" w14:textId="77777777" w:rsidR="004A0887" w:rsidRPr="00E23F5E" w:rsidRDefault="004A0887">
      <w:pPr>
        <w:spacing w:before="1200"/>
        <w:rPr>
          <w:rFonts w:asciiTheme="majorHAnsi" w:hAnsiTheme="majorHAnsi"/>
        </w:rPr>
      </w:pPr>
    </w:p>
    <w:p w14:paraId="3A88A3EB" w14:textId="77777777" w:rsidR="004A0887" w:rsidRPr="00E23F5E" w:rsidRDefault="00000000">
      <w:pPr>
        <w:spacing w:after="60" w:line="1200" w:lineRule="atLeast"/>
        <w:rPr>
          <w:rFonts w:asciiTheme="majorHAnsi" w:hAnsiTheme="majorHAnsi"/>
          <w:color w:val="156082" w:themeColor="accent1"/>
        </w:rPr>
      </w:pPr>
      <w:r w:rsidRPr="00E23F5E">
        <w:rPr>
          <w:rFonts w:asciiTheme="majorHAnsi" w:hAnsiTheme="majorHAnsi"/>
          <w:b/>
          <w:bCs/>
          <w:color w:val="156082" w:themeColor="accent1"/>
          <w:sz w:val="96"/>
          <w:szCs w:val="96"/>
        </w:rPr>
        <w:t>COMPLIANCE</w:t>
      </w:r>
    </w:p>
    <w:p w14:paraId="27053C00" w14:textId="77777777" w:rsidR="004A0887" w:rsidRPr="00E23F5E" w:rsidRDefault="00000000">
      <w:pPr>
        <w:spacing w:after="240" w:line="1200" w:lineRule="atLeast"/>
        <w:rPr>
          <w:rFonts w:asciiTheme="majorHAnsi" w:hAnsiTheme="majorHAnsi"/>
          <w:color w:val="156082" w:themeColor="accent1"/>
        </w:rPr>
      </w:pPr>
      <w:r w:rsidRPr="00E23F5E">
        <w:rPr>
          <w:rFonts w:asciiTheme="majorHAnsi" w:hAnsiTheme="majorHAnsi"/>
          <w:b/>
          <w:bCs/>
          <w:color w:val="156082" w:themeColor="accent1"/>
          <w:sz w:val="96"/>
          <w:szCs w:val="96"/>
        </w:rPr>
        <w:t>PROGRAM</w:t>
      </w:r>
    </w:p>
    <w:p w14:paraId="0EDB865F" w14:textId="77777777" w:rsidR="004A0887" w:rsidRPr="00E23F5E" w:rsidRDefault="004A0887">
      <w:pPr>
        <w:pBdr>
          <w:bottom w:val="single" w:sz="12" w:space="1" w:color="1F4E79"/>
        </w:pBdr>
        <w:spacing w:after="200"/>
        <w:rPr>
          <w:rFonts w:asciiTheme="majorHAnsi" w:hAnsiTheme="majorHAnsi"/>
        </w:rPr>
      </w:pPr>
    </w:p>
    <w:p w14:paraId="16BEB119" w14:textId="77777777" w:rsidR="004A0887" w:rsidRPr="00E23F5E" w:rsidRDefault="00000000">
      <w:pPr>
        <w:spacing w:after="60"/>
        <w:rPr>
          <w:rFonts w:asciiTheme="majorHAnsi" w:hAnsiTheme="majorHAnsi"/>
        </w:rPr>
      </w:pPr>
      <w:r w:rsidRPr="00E23F5E">
        <w:rPr>
          <w:rFonts w:asciiTheme="majorHAnsi" w:hAnsiTheme="majorHAnsi"/>
          <w:b/>
          <w:bCs/>
          <w:color w:val="E89923"/>
          <w:sz w:val="32"/>
          <w:szCs w:val="32"/>
        </w:rPr>
        <w:t>Community Health Plan of Imperial Valley (CHPIV)</w:t>
      </w:r>
    </w:p>
    <w:p w14:paraId="2C9CC39B" w14:textId="77777777" w:rsidR="004A0887" w:rsidRPr="00E23F5E" w:rsidRDefault="00000000">
      <w:pPr>
        <w:spacing w:after="800"/>
        <w:rPr>
          <w:rFonts w:asciiTheme="majorHAnsi" w:hAnsiTheme="majorHAnsi"/>
        </w:rPr>
      </w:pPr>
      <w:r w:rsidRPr="00E23F5E">
        <w:rPr>
          <w:rFonts w:asciiTheme="majorHAnsi" w:hAnsiTheme="majorHAnsi"/>
          <w:i/>
          <w:iCs/>
          <w:sz w:val="24"/>
          <w:szCs w:val="24"/>
        </w:rPr>
        <w:t>Compliance Department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4A0887" w:rsidRPr="00E23F5E" w14:paraId="73DA9C57" w14:textId="77777777">
        <w:tc>
          <w:tcPr>
            <w:tcW w:w="4200" w:type="dxa"/>
            <w:tcBorders>
              <w:top w:val="single" w:sz="4" w:space="0" w:color="8DA8C9"/>
              <w:left w:val="single" w:sz="4" w:space="0" w:color="8DA8C9"/>
              <w:bottom w:val="single" w:sz="4" w:space="0" w:color="8DA8C9"/>
              <w:right w:val="single" w:sz="4" w:space="0" w:color="8DA8C9"/>
            </w:tcBorders>
            <w:shd w:val="clear" w:color="auto" w:fill="DCE6F1"/>
            <w:tcMar>
              <w:top w:w="80" w:type="dxa"/>
              <w:left w:w="120" w:type="dxa"/>
              <w:bottom w:w="80" w:type="dxa"/>
              <w:right w:w="120" w:type="dxa"/>
            </w:tcMar>
            <w:vAlign w:val="center"/>
          </w:tcPr>
          <w:p w14:paraId="1508DBA4"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Effective Date</w:t>
            </w:r>
          </w:p>
        </w:tc>
        <w:tc>
          <w:tcPr>
            <w:tcW w:w="51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0FDEDD40" w14:textId="1C1F179A" w:rsidR="004A0887" w:rsidRPr="00E23F5E" w:rsidRDefault="008F069A">
            <w:pPr>
              <w:spacing w:before="40" w:after="40" w:line="280" w:lineRule="auto"/>
              <w:rPr>
                <w:rFonts w:asciiTheme="majorHAnsi" w:hAnsiTheme="majorHAnsi"/>
              </w:rPr>
            </w:pPr>
            <w:r>
              <w:rPr>
                <w:rFonts w:asciiTheme="majorHAnsi" w:hAnsiTheme="majorHAnsi"/>
              </w:rPr>
              <w:t>08/12/2026</w:t>
            </w:r>
          </w:p>
        </w:tc>
      </w:tr>
      <w:tr w:rsidR="004A0887" w:rsidRPr="00E23F5E" w14:paraId="7CD96E2A" w14:textId="77777777">
        <w:tc>
          <w:tcPr>
            <w:tcW w:w="4200" w:type="dxa"/>
            <w:tcBorders>
              <w:top w:val="single" w:sz="4" w:space="0" w:color="8DA8C9"/>
              <w:left w:val="single" w:sz="4" w:space="0" w:color="8DA8C9"/>
              <w:bottom w:val="single" w:sz="4" w:space="0" w:color="8DA8C9"/>
              <w:right w:val="single" w:sz="4" w:space="0" w:color="8DA8C9"/>
            </w:tcBorders>
            <w:shd w:val="clear" w:color="auto" w:fill="DCE6F1"/>
            <w:tcMar>
              <w:top w:w="80" w:type="dxa"/>
              <w:left w:w="120" w:type="dxa"/>
              <w:bottom w:w="80" w:type="dxa"/>
              <w:right w:w="120" w:type="dxa"/>
            </w:tcMar>
            <w:vAlign w:val="center"/>
          </w:tcPr>
          <w:p w14:paraId="75E5A2B9"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Date Approved by Compliance &amp; Policy Committee</w:t>
            </w:r>
          </w:p>
        </w:tc>
        <w:tc>
          <w:tcPr>
            <w:tcW w:w="51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05A0974F" w14:textId="203E4F7A" w:rsidR="004A0887" w:rsidRPr="00E23F5E" w:rsidRDefault="008F069A">
            <w:pPr>
              <w:spacing w:before="40" w:after="40" w:line="280" w:lineRule="auto"/>
              <w:rPr>
                <w:rFonts w:asciiTheme="majorHAnsi" w:hAnsiTheme="majorHAnsi"/>
              </w:rPr>
            </w:pPr>
            <w:r>
              <w:rPr>
                <w:rFonts w:asciiTheme="majorHAnsi" w:hAnsiTheme="majorHAnsi"/>
              </w:rPr>
              <w:t>08/05/2026</w:t>
            </w:r>
          </w:p>
        </w:tc>
      </w:tr>
      <w:tr w:rsidR="004A0887" w:rsidRPr="00E23F5E" w14:paraId="2959B58E" w14:textId="77777777">
        <w:tc>
          <w:tcPr>
            <w:tcW w:w="4200" w:type="dxa"/>
            <w:tcBorders>
              <w:top w:val="single" w:sz="4" w:space="0" w:color="8DA8C9"/>
              <w:left w:val="single" w:sz="4" w:space="0" w:color="8DA8C9"/>
              <w:bottom w:val="single" w:sz="4" w:space="0" w:color="8DA8C9"/>
              <w:right w:val="single" w:sz="4" w:space="0" w:color="8DA8C9"/>
            </w:tcBorders>
            <w:shd w:val="clear" w:color="auto" w:fill="DCE6F1"/>
            <w:tcMar>
              <w:top w:w="80" w:type="dxa"/>
              <w:left w:w="120" w:type="dxa"/>
              <w:bottom w:w="80" w:type="dxa"/>
              <w:right w:w="120" w:type="dxa"/>
            </w:tcMar>
            <w:vAlign w:val="center"/>
          </w:tcPr>
          <w:p w14:paraId="3C643180"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Date Approved by Regulatory Compliance Oversight Committee of the Commission</w:t>
            </w:r>
          </w:p>
        </w:tc>
        <w:tc>
          <w:tcPr>
            <w:tcW w:w="51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ACBD93C" w14:textId="1E355FA4" w:rsidR="004A0887" w:rsidRPr="00E23F5E" w:rsidRDefault="008F069A">
            <w:pPr>
              <w:spacing w:before="40" w:after="40" w:line="280" w:lineRule="auto"/>
              <w:rPr>
                <w:rFonts w:asciiTheme="majorHAnsi" w:hAnsiTheme="majorHAnsi"/>
              </w:rPr>
            </w:pPr>
            <w:r>
              <w:rPr>
                <w:rFonts w:asciiTheme="majorHAnsi" w:hAnsiTheme="majorHAnsi"/>
              </w:rPr>
              <w:t>08/12/2026</w:t>
            </w:r>
          </w:p>
        </w:tc>
      </w:tr>
      <w:tr w:rsidR="004A0887" w:rsidRPr="00E23F5E" w14:paraId="072C0ED9" w14:textId="77777777">
        <w:tc>
          <w:tcPr>
            <w:tcW w:w="4200" w:type="dxa"/>
            <w:tcBorders>
              <w:top w:val="single" w:sz="4" w:space="0" w:color="8DA8C9"/>
              <w:left w:val="single" w:sz="4" w:space="0" w:color="8DA8C9"/>
              <w:bottom w:val="single" w:sz="4" w:space="0" w:color="8DA8C9"/>
              <w:right w:val="single" w:sz="4" w:space="0" w:color="8DA8C9"/>
            </w:tcBorders>
            <w:shd w:val="clear" w:color="auto" w:fill="DCE6F1"/>
            <w:tcMar>
              <w:top w:w="80" w:type="dxa"/>
              <w:left w:w="120" w:type="dxa"/>
              <w:bottom w:w="80" w:type="dxa"/>
              <w:right w:w="120" w:type="dxa"/>
            </w:tcMar>
            <w:vAlign w:val="center"/>
          </w:tcPr>
          <w:p w14:paraId="7196CBA5"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Review Cycle</w:t>
            </w:r>
          </w:p>
        </w:tc>
        <w:tc>
          <w:tcPr>
            <w:tcW w:w="51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410F6896"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Annual</w:t>
            </w:r>
          </w:p>
        </w:tc>
      </w:tr>
      <w:tr w:rsidR="004A0887" w:rsidRPr="00E23F5E" w14:paraId="7492CCC2" w14:textId="77777777">
        <w:tc>
          <w:tcPr>
            <w:tcW w:w="4200" w:type="dxa"/>
            <w:tcBorders>
              <w:top w:val="single" w:sz="4" w:space="0" w:color="8DA8C9"/>
              <w:left w:val="single" w:sz="4" w:space="0" w:color="8DA8C9"/>
              <w:bottom w:val="single" w:sz="4" w:space="0" w:color="8DA8C9"/>
              <w:right w:val="single" w:sz="4" w:space="0" w:color="8DA8C9"/>
            </w:tcBorders>
            <w:shd w:val="clear" w:color="auto" w:fill="DCE6F1"/>
            <w:tcMar>
              <w:top w:w="80" w:type="dxa"/>
              <w:left w:w="120" w:type="dxa"/>
              <w:bottom w:w="80" w:type="dxa"/>
              <w:right w:w="120" w:type="dxa"/>
            </w:tcMar>
            <w:vAlign w:val="center"/>
          </w:tcPr>
          <w:p w14:paraId="404251D4"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Related Documents</w:t>
            </w:r>
          </w:p>
        </w:tc>
        <w:tc>
          <w:tcPr>
            <w:tcW w:w="51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4B4A184B" w14:textId="6A4CA95C"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Risk Management Program; Audit &amp; Monitoring Program; Delegation Oversight</w:t>
            </w:r>
            <w:r w:rsidR="00E23F5E">
              <w:rPr>
                <w:rFonts w:asciiTheme="majorHAnsi" w:hAnsiTheme="majorHAnsi"/>
                <w:sz w:val="20"/>
                <w:szCs w:val="20"/>
              </w:rPr>
              <w:t xml:space="preserve"> Plan</w:t>
            </w:r>
            <w:r w:rsidRPr="00E23F5E">
              <w:rPr>
                <w:rFonts w:asciiTheme="majorHAnsi" w:hAnsiTheme="majorHAnsi"/>
                <w:sz w:val="20"/>
                <w:szCs w:val="20"/>
              </w:rPr>
              <w:t>; Code of Conduct; CHPIV Policies &amp; Procedures</w:t>
            </w:r>
          </w:p>
        </w:tc>
      </w:tr>
    </w:tbl>
    <w:p w14:paraId="3EC634AC" w14:textId="77777777" w:rsidR="004A0887" w:rsidRPr="00E23F5E" w:rsidRDefault="00000000">
      <w:pPr>
        <w:rPr>
          <w:rFonts w:asciiTheme="majorHAnsi" w:hAnsiTheme="majorHAnsi"/>
        </w:rPr>
      </w:pPr>
      <w:r w:rsidRPr="00E23F5E">
        <w:rPr>
          <w:rFonts w:asciiTheme="majorHAnsi" w:hAnsiTheme="majorHAnsi"/>
        </w:rPr>
        <w:br w:type="page"/>
      </w:r>
    </w:p>
    <w:p w14:paraId="54DF909C"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lastRenderedPageBreak/>
        <w:t>I. Purpose</w:t>
      </w:r>
    </w:p>
    <w:p w14:paraId="1FBBA09E" w14:textId="77777777" w:rsidR="004A0887" w:rsidRPr="00E23F5E" w:rsidRDefault="00000000">
      <w:pPr>
        <w:spacing w:after="160" w:line="300" w:lineRule="auto"/>
        <w:rPr>
          <w:rFonts w:asciiTheme="majorHAnsi" w:hAnsiTheme="majorHAnsi"/>
        </w:rPr>
      </w:pPr>
      <w:r w:rsidRPr="00E23F5E">
        <w:rPr>
          <w:rFonts w:asciiTheme="majorHAnsi" w:hAnsiTheme="majorHAnsi"/>
        </w:rPr>
        <w:t>The Compliance Program is the foundational framework through which Community Health Plan of Imperial Valley (“CHPIV”) ensures that its business operations adhere to ethical standards, contractual obligations, and all applicable federal and state laws, regulations, and rules — including those of the State of California, the Department of Health Care Services (DHCS), the Department of Managed Health Care (DMHC), and the Medicare program.</w:t>
      </w:r>
    </w:p>
    <w:p w14:paraId="7C0D8F1B" w14:textId="77777777" w:rsidR="004A0887" w:rsidRPr="00E23F5E" w:rsidRDefault="00000000">
      <w:pPr>
        <w:spacing w:after="160" w:line="300" w:lineRule="auto"/>
        <w:rPr>
          <w:rFonts w:asciiTheme="majorHAnsi" w:hAnsiTheme="majorHAnsi"/>
        </w:rPr>
      </w:pPr>
      <w:r w:rsidRPr="00E23F5E">
        <w:rPr>
          <w:rFonts w:asciiTheme="majorHAnsi" w:hAnsiTheme="majorHAnsi"/>
        </w:rPr>
        <w:t>This Program defines the organizational structure, authority, and operating disciplines through which CHPIV prevents, detects, and corrects noncompliance across its own operations and across its delegation network. The Risk Management Program, the Audit &amp; Monitoring Program, and the supporting Compliance policies and procedures are downstream instruments of this Program; together they translate the Program’s commitments into routine operating practice.</w:t>
      </w:r>
    </w:p>
    <w:p w14:paraId="2F380A7A"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II. Scope</w:t>
      </w:r>
    </w:p>
    <w:p w14:paraId="13F6B3FA" w14:textId="77777777" w:rsidR="004A0887" w:rsidRPr="00E23F5E" w:rsidRDefault="00000000">
      <w:pPr>
        <w:spacing w:after="160" w:line="300" w:lineRule="auto"/>
        <w:rPr>
          <w:rFonts w:asciiTheme="majorHAnsi" w:hAnsiTheme="majorHAnsi"/>
        </w:rPr>
      </w:pPr>
      <w:r w:rsidRPr="00E23F5E">
        <w:rPr>
          <w:rFonts w:asciiTheme="majorHAnsi" w:hAnsiTheme="majorHAnsi"/>
        </w:rPr>
        <w:t>This Program applies to all CHPIV lines of business — Medi-Cal and Medicare D-SNP — and to all stakeholders responsible for or affected by CHPIV’s regulated activities, including:</w:t>
      </w:r>
    </w:p>
    <w:p w14:paraId="7A63467F"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rPr>
        <w:t>The Commission (governing body), CHPIV employees, officers, and contractors;</w:t>
      </w:r>
    </w:p>
    <w:p w14:paraId="54A66CAD" w14:textId="54426BE8" w:rsidR="004A0887" w:rsidRPr="00E23F5E" w:rsidRDefault="00E23F5E" w:rsidP="00E23F5E">
      <w:pPr>
        <w:pStyle w:val="ListParagraph"/>
        <w:numPr>
          <w:ilvl w:val="0"/>
          <w:numId w:val="2"/>
        </w:numPr>
        <w:spacing w:after="80" w:line="300" w:lineRule="auto"/>
        <w:rPr>
          <w:rFonts w:asciiTheme="majorHAnsi" w:hAnsiTheme="majorHAnsi"/>
        </w:rPr>
      </w:pPr>
      <w:r w:rsidRPr="00E23F5E">
        <w:rPr>
          <w:rFonts w:asciiTheme="majorHAnsi" w:hAnsiTheme="majorHAnsi"/>
        </w:rPr>
        <w:t>All first-tier, downstream, and related entities (FDRs); including</w:t>
      </w:r>
      <w:r>
        <w:rPr>
          <w:rFonts w:asciiTheme="majorHAnsi" w:hAnsiTheme="majorHAnsi"/>
        </w:rPr>
        <w:t xml:space="preserve"> Subcontractors,</w:t>
      </w:r>
      <w:r w:rsidRPr="00E23F5E">
        <w:rPr>
          <w:rFonts w:asciiTheme="majorHAnsi" w:hAnsiTheme="majorHAnsi"/>
        </w:rPr>
        <w:t xml:space="preserve"> IPAs, and other downstream entities under contract;</w:t>
      </w:r>
    </w:p>
    <w:p w14:paraId="0FA41B57"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rPr>
        <w:t>Knox-Keene-licensed health plan operations conducted by CHPIV or on its behalf.</w:t>
      </w:r>
    </w:p>
    <w:p w14:paraId="25B9A110" w14:textId="77777777" w:rsidR="004A0887" w:rsidRPr="00E23F5E" w:rsidRDefault="00000000">
      <w:pPr>
        <w:spacing w:before="80" w:after="160" w:line="300" w:lineRule="auto"/>
        <w:rPr>
          <w:rFonts w:asciiTheme="majorHAnsi" w:hAnsiTheme="majorHAnsi"/>
        </w:rPr>
      </w:pPr>
      <w:r w:rsidRPr="00E23F5E">
        <w:rPr>
          <w:rFonts w:asciiTheme="majorHAnsi" w:hAnsiTheme="majorHAnsi"/>
        </w:rPr>
        <w:t>No CHPIV activity or contracted relationship is exempt from this Program. Where operational functions are performed by delegated entities, this Program governs the oversight CHPIV applies to those entities. A copy of this Program is available on CHPIV’s website.</w:t>
      </w:r>
    </w:p>
    <w:p w14:paraId="5D64AF17"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III. Operating Model</w:t>
      </w:r>
    </w:p>
    <w:p w14:paraId="7A9DDBBF" w14:textId="67C9AC28" w:rsidR="004A0887" w:rsidRPr="00E23F5E" w:rsidRDefault="00000000">
      <w:pPr>
        <w:spacing w:after="160" w:line="300" w:lineRule="auto"/>
        <w:rPr>
          <w:rFonts w:asciiTheme="majorHAnsi" w:hAnsiTheme="majorHAnsi"/>
        </w:rPr>
      </w:pPr>
      <w:r w:rsidRPr="00E23F5E">
        <w:rPr>
          <w:rFonts w:asciiTheme="majorHAnsi" w:hAnsiTheme="majorHAnsi"/>
        </w:rPr>
        <w:t xml:space="preserve">CHPIV retains accountability for Compliance, Delegation Oversight, and Internal Audit functions. Operational functions — including claims, member services, utilization management, </w:t>
      </w:r>
      <w:r w:rsidR="00E23F5E">
        <w:rPr>
          <w:rFonts w:asciiTheme="majorHAnsi" w:hAnsiTheme="majorHAnsi"/>
        </w:rPr>
        <w:t xml:space="preserve">appeals, grievances, </w:t>
      </w:r>
      <w:r w:rsidRPr="00E23F5E">
        <w:rPr>
          <w:rFonts w:asciiTheme="majorHAnsi" w:hAnsiTheme="majorHAnsi"/>
        </w:rPr>
        <w:t>care management, provider operations,</w:t>
      </w:r>
      <w:r w:rsidR="00E23F5E">
        <w:rPr>
          <w:rFonts w:asciiTheme="majorHAnsi" w:hAnsiTheme="majorHAnsi"/>
        </w:rPr>
        <w:t xml:space="preserve"> are per</w:t>
      </w:r>
      <w:r w:rsidR="0090672F">
        <w:rPr>
          <w:rFonts w:asciiTheme="majorHAnsi" w:hAnsiTheme="majorHAnsi"/>
        </w:rPr>
        <w:t>for</w:t>
      </w:r>
      <w:r w:rsidR="00E23F5E">
        <w:rPr>
          <w:rFonts w:asciiTheme="majorHAnsi" w:hAnsiTheme="majorHAnsi"/>
        </w:rPr>
        <w:t xml:space="preserve">med by internal departments and </w:t>
      </w:r>
      <w:r w:rsidRPr="00E23F5E">
        <w:rPr>
          <w:rFonts w:asciiTheme="majorHAnsi" w:hAnsiTheme="majorHAnsi"/>
        </w:rPr>
        <w:t>delegated entities under their respective delegation agreements.</w:t>
      </w:r>
    </w:p>
    <w:p w14:paraId="150418CA" w14:textId="379224D0" w:rsidR="004A0887" w:rsidRPr="00E23F5E" w:rsidRDefault="00000000">
      <w:pPr>
        <w:spacing w:after="160" w:line="300" w:lineRule="auto"/>
        <w:rPr>
          <w:rFonts w:asciiTheme="majorHAnsi" w:hAnsiTheme="majorHAnsi"/>
        </w:rPr>
      </w:pPr>
      <w:r w:rsidRPr="00E23F5E">
        <w:rPr>
          <w:rFonts w:asciiTheme="majorHAnsi" w:hAnsiTheme="majorHAnsi"/>
        </w:rPr>
        <w:t>The Compliance Program is structured accordingly: oversight is centralized, standardized, and driven by risk, with the Risk Management Program setting priorities and the Audit &amp; Monitoring Program executing against them.</w:t>
      </w:r>
    </w:p>
    <w:p w14:paraId="5937AE29"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lastRenderedPageBreak/>
        <w:t>IV. Seven Elements of an Effective Compliance Program</w:t>
      </w:r>
    </w:p>
    <w:p w14:paraId="48213E40" w14:textId="77777777" w:rsidR="004A0887" w:rsidRPr="00E23F5E" w:rsidRDefault="00000000">
      <w:pPr>
        <w:spacing w:after="160" w:line="300" w:lineRule="auto"/>
        <w:rPr>
          <w:rFonts w:asciiTheme="majorHAnsi" w:hAnsiTheme="majorHAnsi"/>
        </w:rPr>
      </w:pPr>
      <w:r w:rsidRPr="00E23F5E">
        <w:rPr>
          <w:rFonts w:asciiTheme="majorHAnsi" w:hAnsiTheme="majorHAnsi"/>
        </w:rPr>
        <w:t>The Compliance Program incorporates the seven fundamental elements of an effective compliance program required under 42 C.F.R. §§ 422.503(b)(4)(vi) and 423.504(b)(4)(vi) and aligns with DHCS and DMHC expectations. The table below identifies each element, where it is operationalized in this Program, and the supporting policies and instruments that govern its execution.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45"/>
        <w:gridCol w:w="1855"/>
        <w:gridCol w:w="3460"/>
      </w:tblGrid>
      <w:tr w:rsidR="004A0887" w:rsidRPr="00E23F5E" w14:paraId="3EF2D80C" w14:textId="77777777" w:rsidTr="00E23F5E">
        <w:trPr>
          <w:tblHeader/>
        </w:trPr>
        <w:tc>
          <w:tcPr>
            <w:tcW w:w="4045"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3E5DF18B"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Element</w:t>
            </w:r>
          </w:p>
        </w:tc>
        <w:tc>
          <w:tcPr>
            <w:tcW w:w="1855"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35084899"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Operationalized in</w:t>
            </w:r>
          </w:p>
        </w:tc>
        <w:tc>
          <w:tcPr>
            <w:tcW w:w="346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19D5ED07"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Supporting Policies &amp; Instruments</w:t>
            </w:r>
          </w:p>
        </w:tc>
      </w:tr>
      <w:tr w:rsidR="004A0887" w:rsidRPr="00E23F5E" w14:paraId="7EDD8F0E" w14:textId="77777777" w:rsidTr="00E23F5E">
        <w:tc>
          <w:tcPr>
            <w:tcW w:w="4045"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0557082C"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1. Written Policies, Procedures, and Standards of Conduct</w:t>
            </w:r>
          </w:p>
        </w:tc>
        <w:tc>
          <w:tcPr>
            <w:tcW w:w="1855"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76E14238"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Section XI</w:t>
            </w:r>
          </w:p>
        </w:tc>
        <w:tc>
          <w:tcPr>
            <w:tcW w:w="34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3AB64E10"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CMP-001; CMP-005; Code of Conduct</w:t>
            </w:r>
          </w:p>
        </w:tc>
      </w:tr>
      <w:tr w:rsidR="004A0887" w:rsidRPr="00E23F5E" w14:paraId="2014785A" w14:textId="77777777" w:rsidTr="00E23F5E">
        <w:tc>
          <w:tcPr>
            <w:tcW w:w="4045"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14C604B9"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2. Compliance Officer, Compliance Committee, and Governing Body Oversight</w:t>
            </w:r>
          </w:p>
        </w:tc>
        <w:tc>
          <w:tcPr>
            <w:tcW w:w="1855"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0BAFF1C5"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Sections V and VI</w:t>
            </w:r>
          </w:p>
        </w:tc>
        <w:tc>
          <w:tcPr>
            <w:tcW w:w="34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77DACDC2"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CMP-008; CMP-013</w:t>
            </w:r>
          </w:p>
        </w:tc>
      </w:tr>
      <w:tr w:rsidR="004A0887" w:rsidRPr="00E23F5E" w14:paraId="07409CC2" w14:textId="77777777" w:rsidTr="00E23F5E">
        <w:tc>
          <w:tcPr>
            <w:tcW w:w="4045"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4C59C553"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3. Effective Training and Education</w:t>
            </w:r>
          </w:p>
        </w:tc>
        <w:tc>
          <w:tcPr>
            <w:tcW w:w="1855"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2AF3D692"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Section X</w:t>
            </w:r>
          </w:p>
        </w:tc>
        <w:tc>
          <w:tcPr>
            <w:tcW w:w="34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77B7B93"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CMP-006</w:t>
            </w:r>
          </w:p>
        </w:tc>
      </w:tr>
      <w:tr w:rsidR="004A0887" w:rsidRPr="00E23F5E" w14:paraId="4FBF8203" w14:textId="77777777" w:rsidTr="00E23F5E">
        <w:tc>
          <w:tcPr>
            <w:tcW w:w="4045"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54CA7699"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4. Effective Lines of Communication</w:t>
            </w:r>
          </w:p>
        </w:tc>
        <w:tc>
          <w:tcPr>
            <w:tcW w:w="1855"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7634A74B"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Section XII</w:t>
            </w:r>
          </w:p>
        </w:tc>
        <w:tc>
          <w:tcPr>
            <w:tcW w:w="34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5D02CEAC"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CMP-010</w:t>
            </w:r>
          </w:p>
        </w:tc>
      </w:tr>
      <w:tr w:rsidR="004A0887" w:rsidRPr="00E23F5E" w14:paraId="0A22967E" w14:textId="77777777" w:rsidTr="00E23F5E">
        <w:tc>
          <w:tcPr>
            <w:tcW w:w="4045"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00EB8BA7"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5. Well-Publicized Disciplinary Standards</w:t>
            </w:r>
          </w:p>
        </w:tc>
        <w:tc>
          <w:tcPr>
            <w:tcW w:w="1855"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75941FC"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Section XII.C</w:t>
            </w:r>
          </w:p>
        </w:tc>
        <w:tc>
          <w:tcPr>
            <w:tcW w:w="34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64542DA"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CMP-007; Employee Handbook</w:t>
            </w:r>
          </w:p>
        </w:tc>
      </w:tr>
      <w:tr w:rsidR="004A0887" w:rsidRPr="00E23F5E" w14:paraId="1FE7B649" w14:textId="77777777" w:rsidTr="00E23F5E">
        <w:tc>
          <w:tcPr>
            <w:tcW w:w="4045"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6BF40576"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6. Effective System for Routine Monitoring, Auditing, and Identification of Compliance Risks</w:t>
            </w:r>
          </w:p>
        </w:tc>
        <w:tc>
          <w:tcPr>
            <w:tcW w:w="1855"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0B8267B9"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Section VII</w:t>
            </w:r>
          </w:p>
        </w:tc>
        <w:tc>
          <w:tcPr>
            <w:tcW w:w="34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24D1CE65"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Risk Management Program; Audit &amp; Monitoring Program; CMP-002</w:t>
            </w:r>
          </w:p>
        </w:tc>
      </w:tr>
      <w:tr w:rsidR="004A0887" w:rsidRPr="00E23F5E" w14:paraId="046EBD9F" w14:textId="77777777" w:rsidTr="00E23F5E">
        <w:tc>
          <w:tcPr>
            <w:tcW w:w="4045"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748CDD6"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7. Procedures for Prompt Response to Compliance Issues</w:t>
            </w:r>
          </w:p>
        </w:tc>
        <w:tc>
          <w:tcPr>
            <w:tcW w:w="1855"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5F0D50E0"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Section VIII</w:t>
            </w:r>
          </w:p>
        </w:tc>
        <w:tc>
          <w:tcPr>
            <w:tcW w:w="34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CE47BD1"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CMP-003; CMP-007; CMP-011</w:t>
            </w:r>
          </w:p>
        </w:tc>
      </w:tr>
    </w:tbl>
    <w:p w14:paraId="276D352F"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V. Compliance Organizational Structure</w:t>
      </w:r>
    </w:p>
    <w:p w14:paraId="239E1D4C" w14:textId="77777777" w:rsidR="004A0887" w:rsidRPr="00E23F5E" w:rsidRDefault="00000000">
      <w:pPr>
        <w:pStyle w:val="Heading2"/>
        <w:rPr>
          <w:rFonts w:asciiTheme="majorHAnsi" w:hAnsiTheme="majorHAnsi"/>
        </w:rPr>
      </w:pPr>
      <w:r w:rsidRPr="00E23F5E">
        <w:rPr>
          <w:rFonts w:asciiTheme="majorHAnsi" w:hAnsiTheme="majorHAnsi"/>
        </w:rPr>
        <w:t>A. Chief Compliance Officer</w:t>
      </w:r>
    </w:p>
    <w:p w14:paraId="03D6C28E" w14:textId="77777777" w:rsidR="004A0887" w:rsidRPr="00E23F5E" w:rsidRDefault="00000000">
      <w:pPr>
        <w:spacing w:after="160" w:line="300" w:lineRule="auto"/>
        <w:rPr>
          <w:rFonts w:asciiTheme="majorHAnsi" w:hAnsiTheme="majorHAnsi"/>
        </w:rPr>
      </w:pPr>
      <w:r w:rsidRPr="00E23F5E">
        <w:rPr>
          <w:rFonts w:asciiTheme="majorHAnsi" w:hAnsiTheme="majorHAnsi"/>
        </w:rPr>
        <w:t>The Chief Compliance Officer (CCO) serves as the focal point for all compliance activities and is responsible for developing, operating, and monitoring the Compliance Program. The CCO is a CHPIV employee and is not employed by any first-tier, downstream, or related entity.</w:t>
      </w:r>
    </w:p>
    <w:p w14:paraId="60F2822C" w14:textId="77777777" w:rsidR="004A0887" w:rsidRPr="00E23F5E" w:rsidRDefault="00000000">
      <w:pPr>
        <w:spacing w:after="160" w:line="300" w:lineRule="auto"/>
        <w:rPr>
          <w:rFonts w:asciiTheme="majorHAnsi" w:hAnsiTheme="majorHAnsi"/>
        </w:rPr>
      </w:pPr>
      <w:r w:rsidRPr="00E23F5E">
        <w:rPr>
          <w:rFonts w:asciiTheme="majorHAnsi" w:hAnsiTheme="majorHAnsi"/>
        </w:rPr>
        <w:t>The CCO reports administratively to the Chief Executive Officer and has direct access to, and reports periodically to, the CHPIV Commission and the Regulatory Compliance Oversight Committee (RCOC) of the Commission on the activities and status of the Compliance Program, including issues identified, investigated, and resolved.</w:t>
      </w:r>
    </w:p>
    <w:p w14:paraId="5278C1DA" w14:textId="77777777" w:rsidR="004A0887" w:rsidRPr="00E23F5E" w:rsidRDefault="00000000">
      <w:pPr>
        <w:pStyle w:val="Heading2"/>
        <w:rPr>
          <w:rFonts w:asciiTheme="majorHAnsi" w:hAnsiTheme="majorHAnsi"/>
        </w:rPr>
      </w:pPr>
      <w:r w:rsidRPr="00E23F5E">
        <w:rPr>
          <w:rFonts w:asciiTheme="majorHAnsi" w:hAnsiTheme="majorHAnsi"/>
        </w:rPr>
        <w:t>B. Centralization of Delegation Oversight and Internal Audit</w:t>
      </w:r>
    </w:p>
    <w:p w14:paraId="7DB1A94D" w14:textId="78A3DF6C" w:rsidR="004A0887" w:rsidRPr="00E23F5E" w:rsidRDefault="00E23F5E">
      <w:pPr>
        <w:spacing w:after="160" w:line="300" w:lineRule="auto"/>
        <w:rPr>
          <w:rFonts w:asciiTheme="majorHAnsi" w:hAnsiTheme="majorHAnsi"/>
        </w:rPr>
      </w:pPr>
      <w:r>
        <w:rPr>
          <w:rFonts w:asciiTheme="majorHAnsi" w:hAnsiTheme="majorHAnsi"/>
        </w:rPr>
        <w:lastRenderedPageBreak/>
        <w:t>The Internal and</w:t>
      </w:r>
      <w:r w:rsidRPr="00E23F5E">
        <w:rPr>
          <w:rFonts w:asciiTheme="majorHAnsi" w:hAnsiTheme="majorHAnsi"/>
        </w:rPr>
        <w:t xml:space="preserve"> Delegation Oversight function is fully centralized under the Compliance Department. The </w:t>
      </w:r>
      <w:r>
        <w:rPr>
          <w:rFonts w:asciiTheme="majorHAnsi" w:hAnsiTheme="majorHAnsi"/>
        </w:rPr>
        <w:t xml:space="preserve">Senior </w:t>
      </w:r>
      <w:r w:rsidRPr="00E23F5E">
        <w:rPr>
          <w:rFonts w:asciiTheme="majorHAnsi" w:hAnsiTheme="majorHAnsi"/>
        </w:rPr>
        <w:t>Director of Internal and Delegation Oversight reports to the CCO and is the strategic leader and final authority on audit outcomes across all delegated functions and any internal CHPIV functions subject to audit.</w:t>
      </w:r>
    </w:p>
    <w:p w14:paraId="23B8D866" w14:textId="77777777" w:rsidR="004A0887" w:rsidRPr="00E23F5E" w:rsidRDefault="00000000">
      <w:pPr>
        <w:spacing w:after="160" w:line="300" w:lineRule="auto"/>
        <w:rPr>
          <w:rFonts w:asciiTheme="majorHAnsi" w:hAnsiTheme="majorHAnsi"/>
        </w:rPr>
      </w:pPr>
      <w:r w:rsidRPr="00E23F5E">
        <w:rPr>
          <w:rFonts w:asciiTheme="majorHAnsi" w:hAnsiTheme="majorHAnsi"/>
        </w:rPr>
        <w:t>This consolidation reflects the Operating Model described in Section III and produces four enterprise outcomes:</w:t>
      </w:r>
    </w:p>
    <w:p w14:paraId="05528A6A"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b/>
          <w:bCs/>
        </w:rPr>
        <w:t>Clear ownership.</w:t>
      </w:r>
      <w:r w:rsidRPr="00E23F5E">
        <w:rPr>
          <w:rFonts w:asciiTheme="majorHAnsi" w:hAnsiTheme="majorHAnsi"/>
        </w:rPr>
        <w:t xml:space="preserve"> Compliance owns audit strategy, execution, and prioritization end</w:t>
      </w:r>
      <w:r w:rsidRPr="00E23F5E">
        <w:rPr>
          <w:rFonts w:ascii="Cambria Math" w:hAnsi="Cambria Math" w:cs="Cambria Math"/>
        </w:rPr>
        <w:t>‑</w:t>
      </w:r>
      <w:r w:rsidRPr="00E23F5E">
        <w:rPr>
          <w:rFonts w:asciiTheme="majorHAnsi" w:hAnsiTheme="majorHAnsi"/>
        </w:rPr>
        <w:t>to</w:t>
      </w:r>
      <w:r w:rsidRPr="00E23F5E">
        <w:rPr>
          <w:rFonts w:ascii="Cambria Math" w:hAnsi="Cambria Math" w:cs="Cambria Math"/>
        </w:rPr>
        <w:t>‑</w:t>
      </w:r>
      <w:r w:rsidRPr="00E23F5E">
        <w:rPr>
          <w:rFonts w:asciiTheme="majorHAnsi" w:hAnsiTheme="majorHAnsi"/>
        </w:rPr>
        <w:t>end.</w:t>
      </w:r>
    </w:p>
    <w:p w14:paraId="4A94B151"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b/>
          <w:bCs/>
        </w:rPr>
        <w:t>Standardized methodology.</w:t>
      </w:r>
      <w:r w:rsidRPr="00E23F5E">
        <w:rPr>
          <w:rFonts w:asciiTheme="majorHAnsi" w:hAnsiTheme="majorHAnsi"/>
        </w:rPr>
        <w:t xml:space="preserve"> A single risk-based audit approach is applied consistently across all delegated functions and is extensible to any function CHPIV may in-source in the future.</w:t>
      </w:r>
    </w:p>
    <w:p w14:paraId="45633BBB"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b/>
          <w:bCs/>
        </w:rPr>
        <w:t>Higher cadence and coverage.</w:t>
      </w:r>
      <w:r w:rsidRPr="00E23F5E">
        <w:rPr>
          <w:rFonts w:asciiTheme="majorHAnsi" w:hAnsiTheme="majorHAnsi"/>
        </w:rPr>
        <w:t xml:space="preserve"> Dedicated audit staff enable broader scopes and more frequent monitoring than a shared-services model permits.</w:t>
      </w:r>
    </w:p>
    <w:p w14:paraId="0AF73D78"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b/>
          <w:bCs/>
        </w:rPr>
        <w:t>Strategic engagement by business leaders.</w:t>
      </w:r>
      <w:r w:rsidRPr="00E23F5E">
        <w:rPr>
          <w:rFonts w:asciiTheme="majorHAnsi" w:hAnsiTheme="majorHAnsi"/>
        </w:rPr>
        <w:t xml:space="preserve"> Operational leaders consume audit results and lead remediation with delegates rather than performing the audits themselves.</w:t>
      </w:r>
    </w:p>
    <w:p w14:paraId="49FDD17A" w14:textId="77777777" w:rsidR="004A0887" w:rsidRPr="00E23F5E" w:rsidRDefault="00000000">
      <w:pPr>
        <w:pStyle w:val="Heading2"/>
        <w:rPr>
          <w:rFonts w:asciiTheme="majorHAnsi" w:hAnsiTheme="majorHAnsi"/>
        </w:rPr>
      </w:pPr>
      <w:r w:rsidRPr="00E23F5E">
        <w:rPr>
          <w:rFonts w:asciiTheme="majorHAnsi" w:hAnsiTheme="majorHAnsi"/>
        </w:rPr>
        <w:t>C. Organizational Chart</w:t>
      </w:r>
    </w:p>
    <w:p w14:paraId="295A0798" w14:textId="2883CD60" w:rsidR="004A0887" w:rsidRPr="00E23F5E" w:rsidRDefault="00000000">
      <w:pPr>
        <w:spacing w:after="200" w:line="300" w:lineRule="auto"/>
        <w:rPr>
          <w:rFonts w:asciiTheme="majorHAnsi" w:hAnsiTheme="majorHAnsi"/>
        </w:rPr>
      </w:pPr>
      <w:r w:rsidRPr="00E23F5E">
        <w:rPr>
          <w:rFonts w:asciiTheme="majorHAnsi" w:hAnsiTheme="majorHAnsi"/>
        </w:rPr>
        <w:t>The chart below depicts CHPIV’s governance and reporting lines</w:t>
      </w:r>
      <w:r w:rsidR="00E23F5E">
        <w:rPr>
          <w:rFonts w:asciiTheme="majorHAnsi" w:hAnsiTheme="majorHAnsi"/>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4A0887" w:rsidRPr="00E23F5E" w14:paraId="531F35E7" w14:textId="77777777">
        <w:tc>
          <w:tcPr>
            <w:tcW w:w="3120" w:type="dxa"/>
            <w:tcBorders>
              <w:top w:val="none" w:sz="0" w:space="0" w:color="FFFFFF"/>
              <w:left w:val="none" w:sz="0" w:space="0" w:color="FFFFFF"/>
              <w:bottom w:val="none" w:sz="0" w:space="0" w:color="FFFFFF"/>
              <w:right w:val="none" w:sz="0" w:space="0" w:color="FFFFFF"/>
            </w:tcBorders>
          </w:tcPr>
          <w:p w14:paraId="7DE216A0" w14:textId="77777777" w:rsidR="004A0887" w:rsidRPr="00E23F5E" w:rsidRDefault="004A0887">
            <w:pPr>
              <w:rPr>
                <w:rFonts w:asciiTheme="majorHAnsi" w:hAnsiTheme="majorHAnsi"/>
              </w:rPr>
            </w:pPr>
          </w:p>
        </w:tc>
        <w:tc>
          <w:tcPr>
            <w:tcW w:w="3120" w:type="dxa"/>
            <w:tcBorders>
              <w:top w:val="single" w:sz="4" w:space="0" w:color="8DA8C9"/>
              <w:left w:val="single" w:sz="4" w:space="0" w:color="8DA8C9"/>
              <w:bottom w:val="single" w:sz="4" w:space="0" w:color="8DA8C9"/>
              <w:right w:val="single" w:sz="4" w:space="0" w:color="8DA8C9"/>
            </w:tcBorders>
            <w:shd w:val="clear" w:color="auto" w:fill="1F4E79"/>
            <w:tcMar>
              <w:top w:w="140" w:type="dxa"/>
              <w:left w:w="120" w:type="dxa"/>
              <w:bottom w:w="140" w:type="dxa"/>
              <w:right w:w="120" w:type="dxa"/>
            </w:tcMar>
            <w:vAlign w:val="center"/>
          </w:tcPr>
          <w:p w14:paraId="658AF21B" w14:textId="77777777" w:rsidR="004A0887" w:rsidRPr="00E23F5E" w:rsidRDefault="00000000">
            <w:pPr>
              <w:jc w:val="center"/>
              <w:rPr>
                <w:rFonts w:asciiTheme="majorHAnsi" w:hAnsiTheme="majorHAnsi"/>
              </w:rPr>
            </w:pPr>
            <w:r w:rsidRPr="00E23F5E">
              <w:rPr>
                <w:rFonts w:asciiTheme="majorHAnsi" w:hAnsiTheme="majorHAnsi"/>
                <w:b/>
                <w:bCs/>
                <w:color w:val="FFFFFF"/>
                <w:sz w:val="20"/>
                <w:szCs w:val="20"/>
              </w:rPr>
              <w:t>CHPIV Commission (Governing Body)</w:t>
            </w:r>
          </w:p>
        </w:tc>
        <w:tc>
          <w:tcPr>
            <w:tcW w:w="3120" w:type="dxa"/>
            <w:tcBorders>
              <w:top w:val="none" w:sz="0" w:space="0" w:color="FFFFFF"/>
              <w:left w:val="none" w:sz="0" w:space="0" w:color="FFFFFF"/>
              <w:bottom w:val="none" w:sz="0" w:space="0" w:color="FFFFFF"/>
              <w:right w:val="none" w:sz="0" w:space="0" w:color="FFFFFF"/>
            </w:tcBorders>
          </w:tcPr>
          <w:p w14:paraId="1E76EAED" w14:textId="77777777" w:rsidR="004A0887" w:rsidRPr="00E23F5E" w:rsidRDefault="004A0887">
            <w:pPr>
              <w:rPr>
                <w:rFonts w:asciiTheme="majorHAnsi" w:hAnsiTheme="majorHAnsi"/>
              </w:rPr>
            </w:pPr>
          </w:p>
        </w:tc>
      </w:tr>
    </w:tbl>
    <w:p w14:paraId="6F63B469" w14:textId="77777777" w:rsidR="004A0887" w:rsidRPr="00E23F5E" w:rsidRDefault="00000000">
      <w:pPr>
        <w:spacing w:before="40" w:after="40"/>
        <w:jc w:val="center"/>
        <w:rPr>
          <w:rFonts w:asciiTheme="majorHAnsi" w:hAnsiTheme="majorHAnsi"/>
        </w:rPr>
      </w:pPr>
      <w:r w:rsidRPr="00E23F5E">
        <w:rPr>
          <w:rFonts w:asciiTheme="majorHAnsi" w:hAnsiTheme="majorHAnsi"/>
          <w:color w:val="1F4E79"/>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4A0887" w:rsidRPr="00E23F5E" w14:paraId="58E367AD" w14:textId="77777777">
        <w:tc>
          <w:tcPr>
            <w:tcW w:w="3120" w:type="dxa"/>
            <w:tcBorders>
              <w:top w:val="none" w:sz="0" w:space="0" w:color="FFFFFF"/>
              <w:left w:val="none" w:sz="0" w:space="0" w:color="FFFFFF"/>
              <w:bottom w:val="none" w:sz="0" w:space="0" w:color="FFFFFF"/>
              <w:right w:val="none" w:sz="0" w:space="0" w:color="FFFFFF"/>
            </w:tcBorders>
          </w:tcPr>
          <w:p w14:paraId="5F0D03A6" w14:textId="77777777" w:rsidR="004A0887" w:rsidRPr="00E23F5E" w:rsidRDefault="004A0887">
            <w:pPr>
              <w:rPr>
                <w:rFonts w:asciiTheme="majorHAnsi" w:hAnsiTheme="majorHAnsi"/>
              </w:rPr>
            </w:pPr>
          </w:p>
        </w:tc>
        <w:tc>
          <w:tcPr>
            <w:tcW w:w="3120" w:type="dxa"/>
            <w:tcBorders>
              <w:top w:val="single" w:sz="4" w:space="0" w:color="8DA8C9"/>
              <w:left w:val="single" w:sz="4" w:space="0" w:color="8DA8C9"/>
              <w:bottom w:val="single" w:sz="4" w:space="0" w:color="8DA8C9"/>
              <w:right w:val="single" w:sz="4" w:space="0" w:color="8DA8C9"/>
            </w:tcBorders>
            <w:shd w:val="clear" w:color="auto" w:fill="1F4E79"/>
            <w:tcMar>
              <w:top w:w="140" w:type="dxa"/>
              <w:left w:w="120" w:type="dxa"/>
              <w:bottom w:w="140" w:type="dxa"/>
              <w:right w:w="120" w:type="dxa"/>
            </w:tcMar>
            <w:vAlign w:val="center"/>
          </w:tcPr>
          <w:p w14:paraId="1151D98A" w14:textId="77777777" w:rsidR="004A0887" w:rsidRPr="00E23F5E" w:rsidRDefault="00000000">
            <w:pPr>
              <w:jc w:val="center"/>
              <w:rPr>
                <w:rFonts w:asciiTheme="majorHAnsi" w:hAnsiTheme="majorHAnsi"/>
              </w:rPr>
            </w:pPr>
            <w:r w:rsidRPr="00E23F5E">
              <w:rPr>
                <w:rFonts w:asciiTheme="majorHAnsi" w:hAnsiTheme="majorHAnsi"/>
                <w:b/>
                <w:bCs/>
                <w:color w:val="FFFFFF"/>
                <w:sz w:val="20"/>
                <w:szCs w:val="20"/>
              </w:rPr>
              <w:t>Regulatory Compliance Oversight Committee of the Commission</w:t>
            </w:r>
          </w:p>
        </w:tc>
        <w:tc>
          <w:tcPr>
            <w:tcW w:w="3120" w:type="dxa"/>
            <w:tcBorders>
              <w:top w:val="none" w:sz="0" w:space="0" w:color="FFFFFF"/>
              <w:left w:val="none" w:sz="0" w:space="0" w:color="FFFFFF"/>
              <w:bottom w:val="none" w:sz="0" w:space="0" w:color="FFFFFF"/>
              <w:right w:val="none" w:sz="0" w:space="0" w:color="FFFFFF"/>
            </w:tcBorders>
          </w:tcPr>
          <w:p w14:paraId="0C133BA2" w14:textId="77777777" w:rsidR="004A0887" w:rsidRPr="00E23F5E" w:rsidRDefault="004A0887">
            <w:pPr>
              <w:rPr>
                <w:rFonts w:asciiTheme="majorHAnsi" w:hAnsiTheme="majorHAnsi"/>
              </w:rPr>
            </w:pPr>
          </w:p>
        </w:tc>
      </w:tr>
    </w:tbl>
    <w:p w14:paraId="270D5009" w14:textId="77777777" w:rsidR="004A0887" w:rsidRPr="00E23F5E" w:rsidRDefault="00000000">
      <w:pPr>
        <w:spacing w:before="40" w:after="40"/>
        <w:jc w:val="center"/>
        <w:rPr>
          <w:rFonts w:asciiTheme="majorHAnsi" w:hAnsiTheme="majorHAnsi"/>
        </w:rPr>
      </w:pPr>
      <w:r w:rsidRPr="00E23F5E">
        <w:rPr>
          <w:rFonts w:asciiTheme="majorHAnsi" w:hAnsiTheme="majorHAnsi"/>
          <w:color w:val="1F4E79"/>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4A0887" w:rsidRPr="00E23F5E" w14:paraId="5B8C67D4" w14:textId="77777777">
        <w:tc>
          <w:tcPr>
            <w:tcW w:w="3120" w:type="dxa"/>
            <w:tcBorders>
              <w:top w:val="none" w:sz="0" w:space="0" w:color="FFFFFF"/>
              <w:left w:val="none" w:sz="0" w:space="0" w:color="FFFFFF"/>
              <w:bottom w:val="none" w:sz="0" w:space="0" w:color="FFFFFF"/>
              <w:right w:val="none" w:sz="0" w:space="0" w:color="FFFFFF"/>
            </w:tcBorders>
          </w:tcPr>
          <w:p w14:paraId="44C42A3B" w14:textId="77777777" w:rsidR="004A0887" w:rsidRPr="00E23F5E" w:rsidRDefault="004A0887">
            <w:pPr>
              <w:rPr>
                <w:rFonts w:asciiTheme="majorHAnsi" w:hAnsiTheme="majorHAnsi"/>
              </w:rPr>
            </w:pPr>
          </w:p>
        </w:tc>
        <w:tc>
          <w:tcPr>
            <w:tcW w:w="3120" w:type="dxa"/>
            <w:tcBorders>
              <w:top w:val="single" w:sz="4" w:space="0" w:color="8DA8C9"/>
              <w:left w:val="single" w:sz="4" w:space="0" w:color="8DA8C9"/>
              <w:bottom w:val="single" w:sz="4" w:space="0" w:color="8DA8C9"/>
              <w:right w:val="single" w:sz="4" w:space="0" w:color="8DA8C9"/>
            </w:tcBorders>
            <w:shd w:val="clear" w:color="auto" w:fill="1F4E79"/>
            <w:tcMar>
              <w:top w:w="140" w:type="dxa"/>
              <w:left w:w="120" w:type="dxa"/>
              <w:bottom w:w="140" w:type="dxa"/>
              <w:right w:w="120" w:type="dxa"/>
            </w:tcMar>
            <w:vAlign w:val="center"/>
          </w:tcPr>
          <w:p w14:paraId="349505C8" w14:textId="77777777" w:rsidR="004A0887" w:rsidRPr="00E23F5E" w:rsidRDefault="00000000">
            <w:pPr>
              <w:jc w:val="center"/>
              <w:rPr>
                <w:rFonts w:asciiTheme="majorHAnsi" w:hAnsiTheme="majorHAnsi"/>
              </w:rPr>
            </w:pPr>
            <w:r w:rsidRPr="00E23F5E">
              <w:rPr>
                <w:rFonts w:asciiTheme="majorHAnsi" w:hAnsiTheme="majorHAnsi"/>
                <w:b/>
                <w:bCs/>
                <w:color w:val="FFFFFF"/>
                <w:sz w:val="20"/>
                <w:szCs w:val="20"/>
              </w:rPr>
              <w:t>Chief Executive Officer</w:t>
            </w:r>
          </w:p>
        </w:tc>
        <w:tc>
          <w:tcPr>
            <w:tcW w:w="3120" w:type="dxa"/>
            <w:tcBorders>
              <w:top w:val="none" w:sz="0" w:space="0" w:color="FFFFFF"/>
              <w:left w:val="none" w:sz="0" w:space="0" w:color="FFFFFF"/>
              <w:bottom w:val="none" w:sz="0" w:space="0" w:color="FFFFFF"/>
              <w:right w:val="none" w:sz="0" w:space="0" w:color="FFFFFF"/>
            </w:tcBorders>
          </w:tcPr>
          <w:p w14:paraId="540B9628" w14:textId="77777777" w:rsidR="004A0887" w:rsidRPr="00E23F5E" w:rsidRDefault="004A0887">
            <w:pPr>
              <w:rPr>
                <w:rFonts w:asciiTheme="majorHAnsi" w:hAnsiTheme="majorHAnsi"/>
              </w:rPr>
            </w:pPr>
          </w:p>
        </w:tc>
      </w:tr>
    </w:tbl>
    <w:p w14:paraId="34780E0D" w14:textId="77777777" w:rsidR="004A0887" w:rsidRPr="00E23F5E" w:rsidRDefault="00000000">
      <w:pPr>
        <w:spacing w:before="40" w:after="40"/>
        <w:jc w:val="center"/>
        <w:rPr>
          <w:rFonts w:asciiTheme="majorHAnsi" w:hAnsiTheme="majorHAnsi"/>
        </w:rPr>
      </w:pPr>
      <w:r w:rsidRPr="00E23F5E">
        <w:rPr>
          <w:rFonts w:asciiTheme="majorHAnsi" w:hAnsiTheme="majorHAnsi"/>
          <w:color w:val="1F4E79"/>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4A0887" w:rsidRPr="00E23F5E" w14:paraId="665D7406" w14:textId="77777777">
        <w:tc>
          <w:tcPr>
            <w:tcW w:w="3120" w:type="dxa"/>
            <w:tcBorders>
              <w:top w:val="none" w:sz="0" w:space="0" w:color="FFFFFF"/>
              <w:left w:val="none" w:sz="0" w:space="0" w:color="FFFFFF"/>
              <w:bottom w:val="none" w:sz="0" w:space="0" w:color="FFFFFF"/>
              <w:right w:val="none" w:sz="0" w:space="0" w:color="FFFFFF"/>
            </w:tcBorders>
          </w:tcPr>
          <w:p w14:paraId="7CBFE0FC" w14:textId="77777777" w:rsidR="004A0887" w:rsidRPr="00E23F5E" w:rsidRDefault="004A0887">
            <w:pPr>
              <w:rPr>
                <w:rFonts w:asciiTheme="majorHAnsi" w:hAnsiTheme="majorHAnsi"/>
              </w:rPr>
            </w:pPr>
          </w:p>
        </w:tc>
        <w:tc>
          <w:tcPr>
            <w:tcW w:w="3120" w:type="dxa"/>
            <w:tcBorders>
              <w:top w:val="single" w:sz="4" w:space="0" w:color="8DA8C9"/>
              <w:left w:val="single" w:sz="4" w:space="0" w:color="8DA8C9"/>
              <w:bottom w:val="single" w:sz="4" w:space="0" w:color="8DA8C9"/>
              <w:right w:val="single" w:sz="4" w:space="0" w:color="8DA8C9"/>
            </w:tcBorders>
            <w:shd w:val="clear" w:color="auto" w:fill="1F4E79"/>
            <w:tcMar>
              <w:top w:w="140" w:type="dxa"/>
              <w:left w:w="120" w:type="dxa"/>
              <w:bottom w:w="140" w:type="dxa"/>
              <w:right w:w="120" w:type="dxa"/>
            </w:tcMar>
            <w:vAlign w:val="center"/>
          </w:tcPr>
          <w:p w14:paraId="682722B3" w14:textId="77777777" w:rsidR="004A0887" w:rsidRPr="00E23F5E" w:rsidRDefault="00000000">
            <w:pPr>
              <w:jc w:val="center"/>
              <w:rPr>
                <w:rFonts w:asciiTheme="majorHAnsi" w:hAnsiTheme="majorHAnsi"/>
              </w:rPr>
            </w:pPr>
            <w:r w:rsidRPr="00E23F5E">
              <w:rPr>
                <w:rFonts w:asciiTheme="majorHAnsi" w:hAnsiTheme="majorHAnsi"/>
                <w:b/>
                <w:bCs/>
                <w:color w:val="FFFFFF"/>
                <w:sz w:val="20"/>
                <w:szCs w:val="20"/>
              </w:rPr>
              <w:t>Chief Compliance Officer</w:t>
            </w:r>
          </w:p>
        </w:tc>
        <w:tc>
          <w:tcPr>
            <w:tcW w:w="3120" w:type="dxa"/>
            <w:tcBorders>
              <w:top w:val="none" w:sz="0" w:space="0" w:color="FFFFFF"/>
              <w:left w:val="none" w:sz="0" w:space="0" w:color="FFFFFF"/>
              <w:bottom w:val="none" w:sz="0" w:space="0" w:color="FFFFFF"/>
              <w:right w:val="none" w:sz="0" w:space="0" w:color="FFFFFF"/>
            </w:tcBorders>
          </w:tcPr>
          <w:p w14:paraId="406B104F" w14:textId="77777777" w:rsidR="004A0887" w:rsidRPr="00E23F5E" w:rsidRDefault="004A0887">
            <w:pPr>
              <w:rPr>
                <w:rFonts w:asciiTheme="majorHAnsi" w:hAnsiTheme="majorHAnsi"/>
              </w:rPr>
            </w:pPr>
          </w:p>
        </w:tc>
      </w:tr>
    </w:tbl>
    <w:p w14:paraId="2A38F567" w14:textId="77777777" w:rsidR="004A0887" w:rsidRPr="00E23F5E" w:rsidRDefault="00000000">
      <w:pPr>
        <w:spacing w:before="40" w:after="40"/>
        <w:jc w:val="center"/>
        <w:rPr>
          <w:rFonts w:asciiTheme="majorHAnsi" w:hAnsiTheme="majorHAnsi"/>
        </w:rPr>
      </w:pPr>
      <w:r w:rsidRPr="00E23F5E">
        <w:rPr>
          <w:rFonts w:asciiTheme="majorHAnsi" w:hAnsiTheme="majorHAnsi"/>
          <w:color w:val="1F4E79"/>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4080"/>
        <w:gridCol w:w="4680"/>
      </w:tblGrid>
      <w:tr w:rsidR="004A0887" w:rsidRPr="00E23F5E" w14:paraId="7967A762" w14:textId="77777777">
        <w:tc>
          <w:tcPr>
            <w:tcW w:w="600" w:type="dxa"/>
            <w:tcBorders>
              <w:top w:val="none" w:sz="0" w:space="0" w:color="FFFFFF"/>
              <w:left w:val="none" w:sz="0" w:space="0" w:color="FFFFFF"/>
              <w:bottom w:val="none" w:sz="0" w:space="0" w:color="FFFFFF"/>
              <w:right w:val="none" w:sz="0" w:space="0" w:color="FFFFFF"/>
            </w:tcBorders>
          </w:tcPr>
          <w:p w14:paraId="662B477C" w14:textId="77777777" w:rsidR="004A0887" w:rsidRPr="00E23F5E" w:rsidRDefault="004A0887">
            <w:pPr>
              <w:rPr>
                <w:rFonts w:asciiTheme="majorHAnsi" w:hAnsiTheme="majorHAnsi"/>
              </w:rPr>
            </w:pPr>
          </w:p>
        </w:tc>
        <w:tc>
          <w:tcPr>
            <w:tcW w:w="4080" w:type="dxa"/>
            <w:tcBorders>
              <w:top w:val="single" w:sz="4" w:space="0" w:color="8DA8C9"/>
              <w:left w:val="single" w:sz="4" w:space="0" w:color="8DA8C9"/>
              <w:bottom w:val="single" w:sz="4" w:space="0" w:color="8DA8C9"/>
              <w:right w:val="single" w:sz="4" w:space="0" w:color="8DA8C9"/>
            </w:tcBorders>
            <w:shd w:val="clear" w:color="auto" w:fill="1F4E79"/>
            <w:tcMar>
              <w:top w:w="140" w:type="dxa"/>
              <w:left w:w="120" w:type="dxa"/>
              <w:bottom w:w="140" w:type="dxa"/>
              <w:right w:w="120" w:type="dxa"/>
            </w:tcMar>
            <w:vAlign w:val="center"/>
          </w:tcPr>
          <w:p w14:paraId="25623C6F" w14:textId="5DE63BFA" w:rsidR="004A0887" w:rsidRPr="00E23F5E" w:rsidRDefault="00E23F5E">
            <w:pPr>
              <w:jc w:val="center"/>
              <w:rPr>
                <w:rFonts w:asciiTheme="majorHAnsi" w:hAnsiTheme="majorHAnsi"/>
              </w:rPr>
            </w:pPr>
            <w:r>
              <w:rPr>
                <w:rFonts w:asciiTheme="majorHAnsi" w:hAnsiTheme="majorHAnsi"/>
                <w:b/>
                <w:bCs/>
                <w:color w:val="FFFFFF"/>
                <w:sz w:val="20"/>
                <w:szCs w:val="20"/>
              </w:rPr>
              <w:t>Executive</w:t>
            </w:r>
            <w:r w:rsidRPr="00E23F5E">
              <w:rPr>
                <w:rFonts w:asciiTheme="majorHAnsi" w:hAnsiTheme="majorHAnsi"/>
                <w:b/>
                <w:bCs/>
                <w:color w:val="FFFFFF"/>
                <w:sz w:val="20"/>
                <w:szCs w:val="20"/>
              </w:rPr>
              <w:t xml:space="preserve"> Director of Compliance</w:t>
            </w:r>
          </w:p>
        </w:tc>
        <w:tc>
          <w:tcPr>
            <w:tcW w:w="4680" w:type="dxa"/>
            <w:tcBorders>
              <w:top w:val="single" w:sz="4" w:space="0" w:color="8DA8C9"/>
              <w:left w:val="single" w:sz="4" w:space="0" w:color="8DA8C9"/>
              <w:bottom w:val="single" w:sz="4" w:space="0" w:color="8DA8C9"/>
              <w:right w:val="single" w:sz="4" w:space="0" w:color="8DA8C9"/>
            </w:tcBorders>
            <w:shd w:val="clear" w:color="auto" w:fill="1F4E79"/>
            <w:tcMar>
              <w:top w:w="140" w:type="dxa"/>
              <w:left w:w="120" w:type="dxa"/>
              <w:bottom w:w="140" w:type="dxa"/>
              <w:right w:w="120" w:type="dxa"/>
            </w:tcMar>
            <w:vAlign w:val="center"/>
          </w:tcPr>
          <w:p w14:paraId="44B546BD" w14:textId="66AA9222" w:rsidR="004A0887" w:rsidRPr="00E23F5E" w:rsidRDefault="00F64EB4">
            <w:pPr>
              <w:jc w:val="center"/>
              <w:rPr>
                <w:rFonts w:asciiTheme="majorHAnsi" w:hAnsiTheme="majorHAnsi"/>
              </w:rPr>
            </w:pPr>
            <w:r>
              <w:rPr>
                <w:rFonts w:asciiTheme="majorHAnsi" w:hAnsiTheme="majorHAnsi"/>
                <w:b/>
                <w:bCs/>
                <w:color w:val="FFFFFF"/>
                <w:sz w:val="20"/>
                <w:szCs w:val="20"/>
              </w:rPr>
              <w:t xml:space="preserve">Senior </w:t>
            </w:r>
            <w:r w:rsidRPr="00E23F5E">
              <w:rPr>
                <w:rFonts w:asciiTheme="majorHAnsi" w:hAnsiTheme="majorHAnsi"/>
                <w:b/>
                <w:bCs/>
                <w:color w:val="FFFFFF"/>
                <w:sz w:val="20"/>
                <w:szCs w:val="20"/>
              </w:rPr>
              <w:t>Director of Internal and Delegation Oversight</w:t>
            </w:r>
          </w:p>
        </w:tc>
      </w:tr>
    </w:tbl>
    <w:p w14:paraId="188D5BEE" w14:textId="77777777" w:rsidR="004A0887" w:rsidRPr="00E23F5E" w:rsidRDefault="00000000">
      <w:pPr>
        <w:spacing w:before="40" w:after="40"/>
        <w:rPr>
          <w:rFonts w:asciiTheme="majorHAnsi" w:hAnsiTheme="majorHAnsi"/>
        </w:rPr>
      </w:pPr>
      <w:r w:rsidRPr="00E23F5E">
        <w:rPr>
          <w:rFonts w:asciiTheme="majorHAnsi" w:hAnsiTheme="majorHAnsi"/>
          <w:sz w:val="8"/>
          <w:szCs w:val="8"/>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4080"/>
        <w:gridCol w:w="4680"/>
      </w:tblGrid>
      <w:tr w:rsidR="004A0887" w:rsidRPr="00E23F5E" w14:paraId="75BB52C9" w14:textId="77777777" w:rsidTr="00E23F5E">
        <w:trPr>
          <w:trHeight w:val="565"/>
        </w:trPr>
        <w:tc>
          <w:tcPr>
            <w:tcW w:w="600" w:type="dxa"/>
            <w:tcBorders>
              <w:top w:val="none" w:sz="0" w:space="0" w:color="FFFFFF"/>
              <w:left w:val="none" w:sz="0" w:space="0" w:color="FFFFFF"/>
              <w:bottom w:val="none" w:sz="0" w:space="0" w:color="FFFFFF"/>
              <w:right w:val="none" w:sz="0" w:space="0" w:color="FFFFFF"/>
            </w:tcBorders>
          </w:tcPr>
          <w:p w14:paraId="020C80B9" w14:textId="77777777" w:rsidR="004A0887" w:rsidRPr="00E23F5E" w:rsidRDefault="004A0887">
            <w:pPr>
              <w:rPr>
                <w:rFonts w:asciiTheme="majorHAnsi" w:hAnsiTheme="majorHAnsi"/>
              </w:rPr>
            </w:pPr>
          </w:p>
        </w:tc>
        <w:tc>
          <w:tcPr>
            <w:tcW w:w="408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00" w:type="dxa"/>
              <w:bottom w:w="100" w:type="dxa"/>
              <w:right w:w="100" w:type="dxa"/>
            </w:tcMar>
          </w:tcPr>
          <w:p w14:paraId="34B2E2B8" w14:textId="77777777" w:rsidR="004A0887" w:rsidRPr="00E23F5E" w:rsidRDefault="00000000">
            <w:pPr>
              <w:spacing w:after="60"/>
              <w:jc w:val="center"/>
              <w:rPr>
                <w:rFonts w:asciiTheme="majorHAnsi" w:hAnsiTheme="majorHAnsi"/>
              </w:rPr>
            </w:pPr>
            <w:r w:rsidRPr="00E23F5E">
              <w:rPr>
                <w:rFonts w:asciiTheme="majorHAnsi" w:hAnsiTheme="majorHAnsi"/>
                <w:b/>
                <w:bCs/>
                <w:color w:val="1F4E79"/>
                <w:sz w:val="20"/>
                <w:szCs w:val="20"/>
              </w:rPr>
              <w:t>Compliance Manager</w:t>
            </w:r>
          </w:p>
          <w:p w14:paraId="4DB07873" w14:textId="77777777" w:rsidR="004A0887" w:rsidRPr="00E23F5E" w:rsidRDefault="00000000">
            <w:pPr>
              <w:jc w:val="center"/>
              <w:rPr>
                <w:rFonts w:asciiTheme="majorHAnsi" w:hAnsiTheme="majorHAnsi"/>
              </w:rPr>
            </w:pPr>
            <w:r w:rsidRPr="00E23F5E">
              <w:rPr>
                <w:rFonts w:asciiTheme="majorHAnsi" w:hAnsiTheme="majorHAnsi"/>
                <w:b/>
                <w:bCs/>
                <w:color w:val="1F4E79"/>
                <w:sz w:val="20"/>
                <w:szCs w:val="20"/>
              </w:rPr>
              <w:t>Compliance Advisor</w:t>
            </w:r>
          </w:p>
        </w:tc>
        <w:tc>
          <w:tcPr>
            <w:tcW w:w="468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00" w:type="dxa"/>
              <w:bottom w:w="100" w:type="dxa"/>
              <w:right w:w="100" w:type="dxa"/>
            </w:tcMar>
          </w:tcPr>
          <w:p w14:paraId="0609A8D3" w14:textId="3B00A256" w:rsidR="004A0887" w:rsidRPr="00E23F5E" w:rsidRDefault="00000000">
            <w:pPr>
              <w:spacing w:after="60"/>
              <w:jc w:val="center"/>
              <w:rPr>
                <w:rFonts w:asciiTheme="majorHAnsi" w:hAnsiTheme="majorHAnsi"/>
              </w:rPr>
            </w:pPr>
            <w:r w:rsidRPr="00E23F5E">
              <w:rPr>
                <w:rFonts w:asciiTheme="majorHAnsi" w:hAnsiTheme="majorHAnsi"/>
                <w:b/>
                <w:bCs/>
                <w:color w:val="1F4E79"/>
                <w:sz w:val="20"/>
                <w:szCs w:val="20"/>
              </w:rPr>
              <w:t>Delegation Oversight Manager</w:t>
            </w:r>
          </w:p>
          <w:p w14:paraId="45E30AED" w14:textId="2D76A0B9" w:rsidR="00E23F5E" w:rsidRPr="00E23F5E" w:rsidRDefault="00E23F5E" w:rsidP="00E23F5E">
            <w:pPr>
              <w:spacing w:after="30"/>
              <w:jc w:val="center"/>
              <w:rPr>
                <w:rFonts w:asciiTheme="majorHAnsi" w:hAnsiTheme="majorHAnsi"/>
              </w:rPr>
            </w:pPr>
            <w:r>
              <w:rPr>
                <w:rFonts w:asciiTheme="majorHAnsi" w:hAnsiTheme="majorHAnsi"/>
                <w:color w:val="1F4E79"/>
                <w:sz w:val="18"/>
                <w:szCs w:val="18"/>
              </w:rPr>
              <w:t>Clinical Compliance</w:t>
            </w:r>
            <w:r w:rsidRPr="00E23F5E">
              <w:rPr>
                <w:rFonts w:asciiTheme="majorHAnsi" w:hAnsiTheme="majorHAnsi"/>
                <w:color w:val="1F4E79"/>
                <w:sz w:val="18"/>
                <w:szCs w:val="18"/>
              </w:rPr>
              <w:t xml:space="preserve"> Auditor</w:t>
            </w:r>
            <w:r>
              <w:rPr>
                <w:rFonts w:asciiTheme="majorHAnsi" w:hAnsiTheme="majorHAnsi"/>
                <w:color w:val="1F4E79"/>
                <w:sz w:val="18"/>
                <w:szCs w:val="18"/>
              </w:rPr>
              <w:t>s (3) and Compliance Auditors (2)</w:t>
            </w:r>
          </w:p>
          <w:p w14:paraId="15A4FE45" w14:textId="0A9554E2" w:rsidR="004A0887" w:rsidRPr="00E23F5E" w:rsidRDefault="004A0887">
            <w:pPr>
              <w:jc w:val="center"/>
              <w:rPr>
                <w:rFonts w:asciiTheme="majorHAnsi" w:hAnsiTheme="majorHAnsi"/>
              </w:rPr>
            </w:pPr>
          </w:p>
        </w:tc>
      </w:tr>
    </w:tbl>
    <w:p w14:paraId="2E63F24A" w14:textId="08245B04" w:rsidR="004A0887" w:rsidRPr="00E23F5E" w:rsidRDefault="00000000">
      <w:pPr>
        <w:spacing w:before="160" w:after="60"/>
        <w:rPr>
          <w:rFonts w:asciiTheme="majorHAnsi" w:hAnsiTheme="majorHAnsi"/>
        </w:rPr>
      </w:pPr>
      <w:r w:rsidRPr="00E23F5E">
        <w:rPr>
          <w:rFonts w:asciiTheme="majorHAnsi" w:hAnsiTheme="majorHAnsi"/>
          <w:i/>
          <w:iCs/>
          <w:color w:val="1F4E79"/>
          <w:sz w:val="20"/>
          <w:szCs w:val="20"/>
        </w:rPr>
        <w:t>Note: The Compliance &amp; Policy Committee reviews all delegation oversight and internal audit plans and reports.</w:t>
      </w:r>
    </w:p>
    <w:p w14:paraId="4B52D1BB" w14:textId="77777777" w:rsidR="004A0887" w:rsidRPr="00E23F5E" w:rsidRDefault="00000000">
      <w:pPr>
        <w:pStyle w:val="Heading2"/>
        <w:rPr>
          <w:rFonts w:asciiTheme="majorHAnsi" w:hAnsiTheme="majorHAnsi"/>
        </w:rPr>
      </w:pPr>
      <w:r w:rsidRPr="00E23F5E">
        <w:rPr>
          <w:rFonts w:asciiTheme="majorHAnsi" w:hAnsiTheme="majorHAnsi"/>
        </w:rPr>
        <w:lastRenderedPageBreak/>
        <w:t>D. Roles &amp; Responsibilities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4A0887" w:rsidRPr="00E23F5E" w14:paraId="706170E1" w14:textId="77777777">
        <w:trPr>
          <w:tblHeader/>
        </w:trPr>
        <w:tc>
          <w:tcPr>
            <w:tcW w:w="280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4344CC66"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Role</w:t>
            </w:r>
          </w:p>
        </w:tc>
        <w:tc>
          <w:tcPr>
            <w:tcW w:w="656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41623A40"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Primary Responsibilities</w:t>
            </w:r>
          </w:p>
        </w:tc>
      </w:tr>
      <w:tr w:rsidR="004A0887" w:rsidRPr="00E23F5E" w14:paraId="350681A6" w14:textId="77777777">
        <w:tc>
          <w:tcPr>
            <w:tcW w:w="28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5345A74"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Chief Compliance Officer</w:t>
            </w:r>
          </w:p>
        </w:tc>
        <w:tc>
          <w:tcPr>
            <w:tcW w:w="65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247EF194"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Owns the Compliance Program end-to-end. Sets strategy, ensures regulatory alignment, reports to the CEO and Commission, and has authority to escalate independently to the governing body.</w:t>
            </w:r>
          </w:p>
        </w:tc>
      </w:tr>
      <w:tr w:rsidR="004A0887" w:rsidRPr="00E23F5E" w14:paraId="00BCF755" w14:textId="77777777">
        <w:tc>
          <w:tcPr>
            <w:tcW w:w="28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55A890B3" w14:textId="76A5BF82" w:rsidR="004A0887" w:rsidRPr="00E23F5E" w:rsidRDefault="00E23F5E">
            <w:pPr>
              <w:spacing w:before="40" w:after="40" w:line="280" w:lineRule="auto"/>
              <w:rPr>
                <w:rFonts w:asciiTheme="majorHAnsi" w:hAnsiTheme="majorHAnsi"/>
              </w:rPr>
            </w:pPr>
            <w:r>
              <w:rPr>
                <w:rFonts w:asciiTheme="majorHAnsi" w:hAnsiTheme="majorHAnsi"/>
                <w:b/>
                <w:bCs/>
                <w:sz w:val="20"/>
                <w:szCs w:val="20"/>
              </w:rPr>
              <w:t>Executive</w:t>
            </w:r>
            <w:r w:rsidRPr="00E23F5E">
              <w:rPr>
                <w:rFonts w:asciiTheme="majorHAnsi" w:hAnsiTheme="majorHAnsi"/>
                <w:b/>
                <w:bCs/>
                <w:sz w:val="20"/>
                <w:szCs w:val="20"/>
              </w:rPr>
              <w:t xml:space="preserve"> Director of Compliance</w:t>
            </w:r>
          </w:p>
        </w:tc>
        <w:tc>
          <w:tcPr>
            <w:tcW w:w="65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3EC4033C" w14:textId="3AE6C012"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Leads day-to-day Corporate Compliance: policies and procedures, regulatory implementation, FWA, privacy and security, training, and CAP management.</w:t>
            </w:r>
            <w:r w:rsidR="00671FC1">
              <w:rPr>
                <w:rFonts w:asciiTheme="majorHAnsi" w:hAnsiTheme="majorHAnsi"/>
                <w:sz w:val="20"/>
                <w:szCs w:val="20"/>
              </w:rPr>
              <w:t xml:space="preserve"> Serves as the Privacy Officer. </w:t>
            </w:r>
          </w:p>
        </w:tc>
      </w:tr>
      <w:tr w:rsidR="004A0887" w:rsidRPr="00E23F5E" w14:paraId="473A9FEB" w14:textId="77777777">
        <w:tc>
          <w:tcPr>
            <w:tcW w:w="28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C6925E2" w14:textId="10887E26" w:rsidR="004A0887" w:rsidRPr="00E23F5E" w:rsidRDefault="00E23F5E">
            <w:pPr>
              <w:spacing w:before="40" w:after="40" w:line="280" w:lineRule="auto"/>
              <w:rPr>
                <w:rFonts w:asciiTheme="majorHAnsi" w:hAnsiTheme="majorHAnsi"/>
              </w:rPr>
            </w:pPr>
            <w:r>
              <w:rPr>
                <w:rFonts w:asciiTheme="majorHAnsi" w:hAnsiTheme="majorHAnsi"/>
                <w:b/>
                <w:bCs/>
                <w:sz w:val="20"/>
                <w:szCs w:val="20"/>
              </w:rPr>
              <w:t xml:space="preserve">Senior </w:t>
            </w:r>
            <w:r w:rsidRPr="00E23F5E">
              <w:rPr>
                <w:rFonts w:asciiTheme="majorHAnsi" w:hAnsiTheme="majorHAnsi"/>
                <w:b/>
                <w:bCs/>
                <w:sz w:val="20"/>
                <w:szCs w:val="20"/>
              </w:rPr>
              <w:t>Director of Internal and Delegation Oversight</w:t>
            </w:r>
          </w:p>
        </w:tc>
        <w:tc>
          <w:tcPr>
            <w:tcW w:w="65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8DF3D2D" w14:textId="75C467F4"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Strategic leader and final authority on audit outcomes. Owns the audit and monitoring plan, approves audit tools and findings, and ensures alignment with DHCS, DMHC, CMS, and NCQA standards.</w:t>
            </w:r>
          </w:p>
        </w:tc>
      </w:tr>
      <w:tr w:rsidR="004A0887" w:rsidRPr="00E23F5E" w14:paraId="63756782" w14:textId="77777777">
        <w:tc>
          <w:tcPr>
            <w:tcW w:w="28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2F15D988" w14:textId="0AD4FD60"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Delegation Oversight Manager</w:t>
            </w:r>
          </w:p>
        </w:tc>
        <w:tc>
          <w:tcPr>
            <w:tcW w:w="65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7447041B"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Execution lead and people manager. Drives day-to-day operations, assigns scopes, manages workload, develops staff, and partners with the Director on findings, escalations, and regulatory readiness.</w:t>
            </w:r>
          </w:p>
        </w:tc>
      </w:tr>
      <w:tr w:rsidR="004A0887" w:rsidRPr="00E23F5E" w14:paraId="0379A15C" w14:textId="77777777">
        <w:tc>
          <w:tcPr>
            <w:tcW w:w="28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2A10CF0E"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Compliance Manager</w:t>
            </w:r>
          </w:p>
        </w:tc>
        <w:tc>
          <w:tcPr>
            <w:tcW w:w="65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1E403FB"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Manages compliance operations, regulatory tracking and implementation, CAP intake and monitoring, and supports the CCO on enterprise compliance initiatives.</w:t>
            </w:r>
          </w:p>
        </w:tc>
      </w:tr>
      <w:tr w:rsidR="004A0887" w:rsidRPr="00E23F5E" w14:paraId="085C861C" w14:textId="77777777">
        <w:tc>
          <w:tcPr>
            <w:tcW w:w="28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6C2FEC7C"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Compliance Advisor</w:t>
            </w:r>
          </w:p>
        </w:tc>
        <w:tc>
          <w:tcPr>
            <w:tcW w:w="65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05903561" w14:textId="2F57C8F0" w:rsidR="004A0887" w:rsidRPr="00E23F5E" w:rsidRDefault="00A16046">
            <w:pPr>
              <w:spacing w:before="40" w:after="40" w:line="280" w:lineRule="auto"/>
              <w:rPr>
                <w:rFonts w:asciiTheme="majorHAnsi" w:hAnsiTheme="majorHAnsi"/>
              </w:rPr>
            </w:pPr>
            <w:r w:rsidRPr="009E357F">
              <w:rPr>
                <w:rFonts w:asciiTheme="majorHAnsi" w:hAnsiTheme="majorHAnsi"/>
                <w:sz w:val="20"/>
                <w:szCs w:val="20"/>
              </w:rPr>
              <w:t>Provides regulatory interpretation and advisory support to business areas, including review of materials, member communications, policy questions, and responses to regulatory inquiries.</w:t>
            </w:r>
          </w:p>
        </w:tc>
      </w:tr>
      <w:tr w:rsidR="004A0887" w:rsidRPr="00E23F5E" w14:paraId="2027106B" w14:textId="77777777">
        <w:tc>
          <w:tcPr>
            <w:tcW w:w="28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4B29CB6D" w14:textId="180DED10" w:rsidR="004A0887" w:rsidRPr="00E23F5E" w:rsidRDefault="00E23F5E">
            <w:pPr>
              <w:spacing w:before="40" w:after="40" w:line="280" w:lineRule="auto"/>
              <w:rPr>
                <w:rFonts w:asciiTheme="majorHAnsi" w:hAnsiTheme="majorHAnsi"/>
              </w:rPr>
            </w:pPr>
            <w:r>
              <w:rPr>
                <w:rFonts w:asciiTheme="majorHAnsi" w:hAnsiTheme="majorHAnsi"/>
                <w:b/>
                <w:bCs/>
                <w:sz w:val="20"/>
                <w:szCs w:val="20"/>
              </w:rPr>
              <w:t xml:space="preserve">Clinical Compliance Auditor </w:t>
            </w:r>
          </w:p>
        </w:tc>
        <w:tc>
          <w:tcPr>
            <w:tcW w:w="65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765647ED" w14:textId="77777777" w:rsidR="004A0887" w:rsidRPr="00E23F5E" w:rsidRDefault="00000000" w:rsidP="00E23F5E">
            <w:pPr>
              <w:pStyle w:val="ListParagraph"/>
              <w:numPr>
                <w:ilvl w:val="0"/>
                <w:numId w:val="3"/>
              </w:numPr>
              <w:spacing w:before="40" w:after="40" w:line="280" w:lineRule="auto"/>
              <w:rPr>
                <w:rFonts w:asciiTheme="majorHAnsi" w:hAnsiTheme="majorHAnsi"/>
                <w:sz w:val="20"/>
                <w:szCs w:val="20"/>
              </w:rPr>
            </w:pPr>
            <w:r w:rsidRPr="00E23F5E">
              <w:rPr>
                <w:rFonts w:asciiTheme="majorHAnsi" w:hAnsiTheme="majorHAnsi"/>
                <w:sz w:val="20"/>
                <w:szCs w:val="20"/>
              </w:rPr>
              <w:t>Reviews member grievances, quality of care cases, and appeals for clinical appropriateness, timely resolution, and policy adherence.</w:t>
            </w:r>
          </w:p>
          <w:p w14:paraId="0A3D4250" w14:textId="77777777" w:rsidR="00E23F5E" w:rsidRPr="00E23F5E" w:rsidRDefault="00E23F5E" w:rsidP="00E23F5E">
            <w:pPr>
              <w:pStyle w:val="ListParagraph"/>
              <w:numPr>
                <w:ilvl w:val="0"/>
                <w:numId w:val="3"/>
              </w:numPr>
              <w:spacing w:before="40" w:after="40" w:line="280" w:lineRule="auto"/>
              <w:rPr>
                <w:rFonts w:asciiTheme="majorHAnsi" w:hAnsiTheme="majorHAnsi"/>
                <w:sz w:val="20"/>
                <w:szCs w:val="20"/>
              </w:rPr>
            </w:pPr>
            <w:r w:rsidRPr="00E23F5E">
              <w:rPr>
                <w:rFonts w:asciiTheme="majorHAnsi" w:hAnsiTheme="majorHAnsi"/>
                <w:sz w:val="20"/>
                <w:szCs w:val="20"/>
              </w:rPr>
              <w:t>Oversees prior authorization, concurrent review, post-stabilization, retroactive authorizations, and denial notice compliance, including medical necessity, turnaround times, and readability standards.</w:t>
            </w:r>
          </w:p>
          <w:p w14:paraId="1D6E00F2" w14:textId="6B25AE0F" w:rsidR="00E23F5E" w:rsidRPr="00E23F5E" w:rsidRDefault="00E23F5E" w:rsidP="00E23F5E">
            <w:pPr>
              <w:pStyle w:val="ListParagraph"/>
              <w:numPr>
                <w:ilvl w:val="0"/>
                <w:numId w:val="3"/>
              </w:numPr>
              <w:spacing w:before="40" w:after="40" w:line="280" w:lineRule="auto"/>
              <w:rPr>
                <w:rFonts w:asciiTheme="majorHAnsi" w:hAnsiTheme="majorHAnsi"/>
              </w:rPr>
            </w:pPr>
            <w:r w:rsidRPr="00E23F5E">
              <w:rPr>
                <w:rFonts w:asciiTheme="majorHAnsi" w:hAnsiTheme="majorHAnsi"/>
                <w:sz w:val="20"/>
                <w:szCs w:val="20"/>
              </w:rPr>
              <w:t>Audits behavioral health access (including parity), Complex Care Management, Enhanced Care Management, EPSDT, continuity of care, and prescription drug compliance.</w:t>
            </w:r>
          </w:p>
        </w:tc>
      </w:tr>
      <w:tr w:rsidR="004A0887" w:rsidRPr="00E23F5E" w14:paraId="3D19474B" w14:textId="77777777">
        <w:tc>
          <w:tcPr>
            <w:tcW w:w="28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27EDF0ED" w14:textId="597013A3" w:rsidR="004A0887" w:rsidRPr="00E23F5E" w:rsidRDefault="00E23F5E">
            <w:pPr>
              <w:spacing w:before="40" w:after="40" w:line="280" w:lineRule="auto"/>
              <w:rPr>
                <w:rFonts w:asciiTheme="majorHAnsi" w:hAnsiTheme="majorHAnsi"/>
              </w:rPr>
            </w:pPr>
            <w:r>
              <w:rPr>
                <w:rFonts w:asciiTheme="majorHAnsi" w:hAnsiTheme="majorHAnsi"/>
                <w:b/>
                <w:bCs/>
                <w:sz w:val="20"/>
                <w:szCs w:val="20"/>
              </w:rPr>
              <w:t xml:space="preserve">Compliance Auditor </w:t>
            </w:r>
          </w:p>
        </w:tc>
        <w:tc>
          <w:tcPr>
            <w:tcW w:w="65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E408ACA" w14:textId="7DA9A29A"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Audits non-clinical delegated functions, including claims, encounters, credentialing,</w:t>
            </w:r>
            <w:r w:rsidR="00E23F5E">
              <w:rPr>
                <w:rFonts w:asciiTheme="majorHAnsi" w:hAnsiTheme="majorHAnsi"/>
                <w:sz w:val="20"/>
                <w:szCs w:val="20"/>
              </w:rPr>
              <w:t xml:space="preserve"> provider network,</w:t>
            </w:r>
            <w:r w:rsidRPr="00E23F5E">
              <w:rPr>
                <w:rFonts w:asciiTheme="majorHAnsi" w:hAnsiTheme="majorHAnsi"/>
                <w:sz w:val="20"/>
                <w:szCs w:val="20"/>
              </w:rPr>
              <w:t xml:space="preserve"> language assistance, and </w:t>
            </w:r>
            <w:r w:rsidR="00E23F5E">
              <w:rPr>
                <w:rFonts w:asciiTheme="majorHAnsi" w:hAnsiTheme="majorHAnsi"/>
                <w:sz w:val="20"/>
                <w:szCs w:val="20"/>
              </w:rPr>
              <w:t xml:space="preserve">compliance </w:t>
            </w:r>
            <w:r w:rsidRPr="00E23F5E">
              <w:rPr>
                <w:rFonts w:asciiTheme="majorHAnsi" w:hAnsiTheme="majorHAnsi"/>
                <w:sz w:val="20"/>
                <w:szCs w:val="20"/>
              </w:rPr>
              <w:t>program effectiveness.</w:t>
            </w:r>
          </w:p>
        </w:tc>
      </w:tr>
    </w:tbl>
    <w:p w14:paraId="0DD0CEE8"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VI. Governance and Authority</w:t>
      </w:r>
    </w:p>
    <w:p w14:paraId="1E9E58C6" w14:textId="77777777" w:rsidR="004A0887" w:rsidRPr="00E23F5E" w:rsidRDefault="00000000">
      <w:pPr>
        <w:pStyle w:val="Heading2"/>
        <w:rPr>
          <w:rFonts w:asciiTheme="majorHAnsi" w:hAnsiTheme="majorHAnsi"/>
        </w:rPr>
      </w:pPr>
      <w:r w:rsidRPr="00E23F5E">
        <w:rPr>
          <w:rFonts w:asciiTheme="majorHAnsi" w:hAnsiTheme="majorHAnsi"/>
        </w:rPr>
        <w:t>A. CHPIV Commission</w:t>
      </w:r>
    </w:p>
    <w:p w14:paraId="3BC06A23" w14:textId="77777777" w:rsidR="004A0887" w:rsidRPr="00E23F5E" w:rsidRDefault="00000000">
      <w:pPr>
        <w:spacing w:after="160" w:line="300" w:lineRule="auto"/>
        <w:rPr>
          <w:rFonts w:asciiTheme="majorHAnsi" w:hAnsiTheme="majorHAnsi"/>
        </w:rPr>
      </w:pPr>
      <w:r w:rsidRPr="00E23F5E">
        <w:rPr>
          <w:rFonts w:asciiTheme="majorHAnsi" w:hAnsiTheme="majorHAnsi"/>
        </w:rPr>
        <w:lastRenderedPageBreak/>
        <w:t>The CHPIV Commission serves as the organization’s governing body and actively oversees compliance efforts. The Commission is knowledgeable about the content and operation of the Compliance Program and exercises reasonable oversight of its implementation and effectiveness. The Commission regularly evaluates CHPIV’s overall performance, reviews compliance reports, and provides direction in response to instances of noncompliance.</w:t>
      </w:r>
    </w:p>
    <w:p w14:paraId="5FB4A21F" w14:textId="77777777" w:rsidR="004A0887" w:rsidRPr="00E23F5E" w:rsidRDefault="00000000">
      <w:pPr>
        <w:pStyle w:val="Heading2"/>
        <w:rPr>
          <w:rFonts w:asciiTheme="majorHAnsi" w:hAnsiTheme="majorHAnsi"/>
        </w:rPr>
      </w:pPr>
      <w:r w:rsidRPr="00E23F5E">
        <w:rPr>
          <w:rFonts w:asciiTheme="majorHAnsi" w:hAnsiTheme="majorHAnsi"/>
        </w:rPr>
        <w:t>B. Regulatory Compliance Oversight Committee of the Commission</w:t>
      </w:r>
    </w:p>
    <w:p w14:paraId="2FBC5E32" w14:textId="77777777" w:rsidR="004A0887" w:rsidRPr="00E23F5E" w:rsidRDefault="00000000">
      <w:pPr>
        <w:spacing w:after="160" w:line="300" w:lineRule="auto"/>
        <w:rPr>
          <w:rFonts w:asciiTheme="majorHAnsi" w:hAnsiTheme="majorHAnsi"/>
        </w:rPr>
      </w:pPr>
      <w:r w:rsidRPr="00E23F5E">
        <w:rPr>
          <w:rFonts w:asciiTheme="majorHAnsi" w:hAnsiTheme="majorHAnsi"/>
        </w:rPr>
        <w:t>The Regulatory Compliance Oversight Committee (RCOC) is a subcommittee of the Commission. It supports the Commission’s oversight by reviewing the effectiveness of the Compliance Program, approving annual program documents and audit plans, monitoring significant compliance matters, and addressing issues as they arise.</w:t>
      </w:r>
    </w:p>
    <w:p w14:paraId="68768352" w14:textId="77777777" w:rsidR="004A0887" w:rsidRPr="00E23F5E" w:rsidRDefault="00000000">
      <w:pPr>
        <w:pStyle w:val="Heading2"/>
        <w:rPr>
          <w:rFonts w:asciiTheme="majorHAnsi" w:hAnsiTheme="majorHAnsi"/>
        </w:rPr>
      </w:pPr>
      <w:r w:rsidRPr="00E23F5E">
        <w:rPr>
          <w:rFonts w:asciiTheme="majorHAnsi" w:hAnsiTheme="majorHAnsi"/>
        </w:rPr>
        <w:t>C. Compliance &amp; Policy Committee</w:t>
      </w:r>
    </w:p>
    <w:p w14:paraId="2598D4DB" w14:textId="3B498D38" w:rsidR="004A0887" w:rsidRPr="00E23F5E" w:rsidRDefault="00000000">
      <w:pPr>
        <w:spacing w:after="160" w:line="300" w:lineRule="auto"/>
        <w:rPr>
          <w:rFonts w:asciiTheme="majorHAnsi" w:hAnsiTheme="majorHAnsi"/>
        </w:rPr>
      </w:pPr>
      <w:r w:rsidRPr="00E23F5E">
        <w:rPr>
          <w:rFonts w:asciiTheme="majorHAnsi" w:hAnsiTheme="majorHAnsi"/>
        </w:rPr>
        <w:t xml:space="preserve">The </w:t>
      </w:r>
      <w:r w:rsidR="001C227F">
        <w:rPr>
          <w:rFonts w:asciiTheme="majorHAnsi" w:hAnsiTheme="majorHAnsi"/>
        </w:rPr>
        <w:t xml:space="preserve">internal </w:t>
      </w:r>
      <w:r w:rsidRPr="00E23F5E">
        <w:rPr>
          <w:rFonts w:asciiTheme="majorHAnsi" w:hAnsiTheme="majorHAnsi"/>
        </w:rPr>
        <w:t xml:space="preserve">Compliance &amp; Policy Committee (CPC) provides operational oversight, advice, and guidance to CHPIV senior </w:t>
      </w:r>
      <w:r w:rsidR="001C227F">
        <w:rPr>
          <w:rFonts w:asciiTheme="majorHAnsi" w:hAnsiTheme="majorHAnsi"/>
        </w:rPr>
        <w:t>leadership</w:t>
      </w:r>
      <w:r w:rsidRPr="00E23F5E">
        <w:rPr>
          <w:rFonts w:asciiTheme="majorHAnsi" w:hAnsiTheme="majorHAnsi"/>
        </w:rPr>
        <w:t xml:space="preserve"> on all compliance matters. The CPC reviews and approves the Compliance Program and its downstream instruments — including the Risk Management Program, the Audit &amp; Monitoring Program, and the annual audit and monitoring plans — and oversees implementation of policies that require compliance with applicable laws, regulations, contractual requirements, and internal policy.</w:t>
      </w:r>
    </w:p>
    <w:p w14:paraId="44FF4FCA"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VII. Risk Management and the Audit &amp; Monitoring Program</w:t>
      </w:r>
    </w:p>
    <w:p w14:paraId="11A4C629" w14:textId="77777777" w:rsidR="004A0887" w:rsidRPr="00E23F5E" w:rsidRDefault="00000000">
      <w:pPr>
        <w:spacing w:after="160" w:line="300" w:lineRule="auto"/>
        <w:rPr>
          <w:rFonts w:asciiTheme="majorHAnsi" w:hAnsiTheme="majorHAnsi"/>
        </w:rPr>
      </w:pPr>
      <w:r w:rsidRPr="00E23F5E">
        <w:rPr>
          <w:rFonts w:asciiTheme="majorHAnsi" w:hAnsiTheme="majorHAnsi"/>
        </w:rPr>
        <w:t>Routine monitoring, auditing, and identification of compliance risks are operationalized through two integrated downstream programs: the Risk Management Program and the Audit &amp; Monitoring Program. These programs are governed by, and operate in service of, this Compliance Program.</w:t>
      </w:r>
    </w:p>
    <w:p w14:paraId="7952DB32" w14:textId="77777777" w:rsidR="004A0887" w:rsidRPr="00E23F5E" w:rsidRDefault="00000000">
      <w:pPr>
        <w:pStyle w:val="Heading2"/>
        <w:rPr>
          <w:rFonts w:asciiTheme="majorHAnsi" w:hAnsiTheme="majorHAnsi"/>
        </w:rPr>
      </w:pPr>
      <w:r w:rsidRPr="00E23F5E">
        <w:rPr>
          <w:rFonts w:asciiTheme="majorHAnsi" w:hAnsiTheme="majorHAnsi"/>
        </w:rPr>
        <w:t>A. Risk Management Program</w:t>
      </w:r>
    </w:p>
    <w:p w14:paraId="7AB0183A" w14:textId="77777777" w:rsidR="004A0887" w:rsidRPr="00E23F5E" w:rsidRDefault="00000000">
      <w:pPr>
        <w:spacing w:after="160" w:line="300" w:lineRule="auto"/>
        <w:rPr>
          <w:rFonts w:asciiTheme="majorHAnsi" w:hAnsiTheme="majorHAnsi"/>
        </w:rPr>
      </w:pPr>
      <w:r w:rsidRPr="00E23F5E">
        <w:rPr>
          <w:rFonts w:asciiTheme="majorHAnsi" w:hAnsiTheme="majorHAnsi"/>
        </w:rPr>
        <w:t>The Risk Management Program establishes a structured, enterprise-wide framework for identifying, assessing, prioritizing, managing, and monitoring compliance risks across all CHPIV lines of business and delegated functions. It ensures that CHPIV’s oversight activities are driven by actual organizational risk rather than uniform schedules or administrative convention.</w:t>
      </w:r>
    </w:p>
    <w:p w14:paraId="509E6E11" w14:textId="5AAFDC2A" w:rsidR="004A0887" w:rsidRPr="00E23F5E" w:rsidRDefault="00000000">
      <w:pPr>
        <w:spacing w:after="160" w:line="300" w:lineRule="auto"/>
        <w:rPr>
          <w:rFonts w:asciiTheme="majorHAnsi" w:hAnsiTheme="majorHAnsi"/>
        </w:rPr>
      </w:pPr>
      <w:r w:rsidRPr="00E23F5E">
        <w:rPr>
          <w:rFonts w:asciiTheme="majorHAnsi" w:hAnsiTheme="majorHAnsi"/>
        </w:rPr>
        <w:t xml:space="preserve">The Risk Management Program operates through four integrated components: a continuously maintained Risk Repository; an Annual Risk Assessment that scores and tiers risks by line of business; a Monitoring Protocol shaped by the risk assessment; and a Corrective Action and Validation cycle that closes risks only after correction is objectively confirmed. Each risk is scored using a three-factor methodology — Member/Provider Impact, Regulatory Focus, and Deficiency/Recurrence — producing a composite score </w:t>
      </w:r>
      <w:r w:rsidRPr="00E23F5E">
        <w:rPr>
          <w:rFonts w:asciiTheme="majorHAnsi" w:hAnsiTheme="majorHAnsi"/>
        </w:rPr>
        <w:lastRenderedPageBreak/>
        <w:t>that maps to a risk tier (Critical, High, Medium/Low). Detail</w:t>
      </w:r>
      <w:r w:rsidR="00DF6E11">
        <w:rPr>
          <w:rFonts w:asciiTheme="majorHAnsi" w:hAnsiTheme="majorHAnsi"/>
        </w:rPr>
        <w:t xml:space="preserve">s are </w:t>
      </w:r>
      <w:r w:rsidRPr="00E23F5E">
        <w:rPr>
          <w:rFonts w:asciiTheme="majorHAnsi" w:hAnsiTheme="majorHAnsi"/>
        </w:rPr>
        <w:t>documented in the Risk Management Program.</w:t>
      </w:r>
    </w:p>
    <w:p w14:paraId="68F16BE6" w14:textId="77777777" w:rsidR="004A0887" w:rsidRPr="00E23F5E" w:rsidRDefault="00000000">
      <w:pPr>
        <w:pStyle w:val="Heading2"/>
        <w:rPr>
          <w:rFonts w:asciiTheme="majorHAnsi" w:hAnsiTheme="majorHAnsi"/>
        </w:rPr>
      </w:pPr>
      <w:r w:rsidRPr="00E23F5E">
        <w:rPr>
          <w:rFonts w:asciiTheme="majorHAnsi" w:hAnsiTheme="majorHAnsi"/>
        </w:rPr>
        <w:t>B. Audit &amp; Monitoring Program</w:t>
      </w:r>
    </w:p>
    <w:p w14:paraId="10C53BB6" w14:textId="77777777" w:rsidR="004A0887" w:rsidRPr="00E23F5E" w:rsidRDefault="00000000">
      <w:pPr>
        <w:spacing w:after="160" w:line="300" w:lineRule="auto"/>
        <w:rPr>
          <w:rFonts w:asciiTheme="majorHAnsi" w:hAnsiTheme="majorHAnsi"/>
        </w:rPr>
      </w:pPr>
      <w:r w:rsidRPr="00E23F5E">
        <w:rPr>
          <w:rFonts w:asciiTheme="majorHAnsi" w:hAnsiTheme="majorHAnsi"/>
        </w:rPr>
        <w:t>The Audit &amp; Monitoring Program (AMP) is the primary oversight instrument through which CHPIV evaluates compliance performance across its internal business units and delegation network. It operationalizes the outputs of the Risk Management Program by defining what is reviewed, how it is reviewed, and how often.</w:t>
      </w:r>
    </w:p>
    <w:p w14:paraId="799070D5" w14:textId="172D9765" w:rsidR="004A0887" w:rsidRPr="00E23F5E" w:rsidRDefault="00000000">
      <w:pPr>
        <w:spacing w:after="160" w:line="300" w:lineRule="auto"/>
        <w:rPr>
          <w:rFonts w:asciiTheme="majorHAnsi" w:hAnsiTheme="majorHAnsi"/>
        </w:rPr>
      </w:pPr>
      <w:r w:rsidRPr="00E23F5E">
        <w:rPr>
          <w:rFonts w:asciiTheme="majorHAnsi" w:hAnsiTheme="majorHAnsi"/>
        </w:rPr>
        <w:t xml:space="preserve">The AMP is a single unified framework. One set of oversight elements, derived from CHPIV’s audit tools, governs all oversight activity. Quantitative KPIs are monitored quarterly for every functional area regardless of risk tier. Qualitative case file reviews are conducted quarterly for High and Critical risk areas and annually for Medium/Low risk areas. Policy reviews are conducted annually. Findings from all AMP activities feed back into the Risk Repository, and CAPs remain open until validation is complete. </w:t>
      </w:r>
      <w:r w:rsidR="00DF6E11" w:rsidRPr="00E23F5E">
        <w:rPr>
          <w:rFonts w:asciiTheme="majorHAnsi" w:hAnsiTheme="majorHAnsi"/>
        </w:rPr>
        <w:t>Details are</w:t>
      </w:r>
      <w:r w:rsidRPr="00E23F5E">
        <w:rPr>
          <w:rFonts w:asciiTheme="majorHAnsi" w:hAnsiTheme="majorHAnsi"/>
        </w:rPr>
        <w:t xml:space="preserve"> documented in the Audit &amp; Monitoring Program.</w:t>
      </w:r>
    </w:p>
    <w:p w14:paraId="354592AA" w14:textId="77777777" w:rsidR="004A0887" w:rsidRPr="00E23F5E" w:rsidRDefault="00000000">
      <w:pPr>
        <w:pStyle w:val="Heading2"/>
        <w:rPr>
          <w:rFonts w:asciiTheme="majorHAnsi" w:hAnsiTheme="majorHAnsi"/>
        </w:rPr>
      </w:pPr>
      <w:r w:rsidRPr="00E23F5E">
        <w:rPr>
          <w:rFonts w:asciiTheme="majorHAnsi" w:hAnsiTheme="majorHAnsi"/>
        </w:rPr>
        <w:t>C. Relationship Between Programs</w:t>
      </w:r>
    </w:p>
    <w:p w14:paraId="49186431" w14:textId="77777777" w:rsidR="004A0887" w:rsidRPr="00E23F5E" w:rsidRDefault="00000000">
      <w:pPr>
        <w:spacing w:after="160" w:line="300" w:lineRule="auto"/>
        <w:rPr>
          <w:rFonts w:asciiTheme="majorHAnsi" w:hAnsiTheme="majorHAnsi"/>
        </w:rPr>
      </w:pPr>
      <w:r w:rsidRPr="00E23F5E">
        <w:rPr>
          <w:rFonts w:asciiTheme="majorHAnsi" w:hAnsiTheme="majorHAnsi"/>
        </w:rPr>
        <w:t>The relationship among the three programs is sequential and self-reinforcing: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4A0887" w:rsidRPr="00E23F5E" w14:paraId="401D296F" w14:textId="77777777">
        <w:trPr>
          <w:tblHeader/>
        </w:trPr>
        <w:tc>
          <w:tcPr>
            <w:tcW w:w="220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47C87CDF"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Program</w:t>
            </w:r>
          </w:p>
        </w:tc>
        <w:tc>
          <w:tcPr>
            <w:tcW w:w="716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716B6561"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Function</w:t>
            </w:r>
          </w:p>
        </w:tc>
      </w:tr>
      <w:tr w:rsidR="004A0887" w:rsidRPr="00E23F5E" w14:paraId="76DF89C7" w14:textId="77777777">
        <w:tc>
          <w:tcPr>
            <w:tcW w:w="22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39CB5015"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Compliance Program</w:t>
            </w:r>
          </w:p>
        </w:tc>
        <w:tc>
          <w:tcPr>
            <w:tcW w:w="71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47CBF76A"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Sets the framework: governance, authority, scope, the seven elements, and the operating model under which all oversight occurs.</w:t>
            </w:r>
          </w:p>
        </w:tc>
      </w:tr>
      <w:tr w:rsidR="004A0887" w:rsidRPr="00E23F5E" w14:paraId="73782A4B" w14:textId="77777777">
        <w:tc>
          <w:tcPr>
            <w:tcW w:w="22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78B58330"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Risk Management Program</w:t>
            </w:r>
          </w:p>
        </w:tc>
        <w:tc>
          <w:tcPr>
            <w:tcW w:w="71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6676B7DB"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Identifies, scores, and prioritizes compliance risks; produces the Annual Risk Assessment that drives oversight focus for the following year.</w:t>
            </w:r>
          </w:p>
        </w:tc>
      </w:tr>
      <w:tr w:rsidR="004A0887" w:rsidRPr="00E23F5E" w14:paraId="0F1DB5E1" w14:textId="77777777">
        <w:tc>
          <w:tcPr>
            <w:tcW w:w="22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3FB6200"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Audit &amp; Monitoring Program</w:t>
            </w:r>
          </w:p>
        </w:tc>
        <w:tc>
          <w:tcPr>
            <w:tcW w:w="71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3DEB836D"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Executes oversight: quarterly quantitative KPIs, tier-driven qualitative case file reviews, and annual policy reviews. Findings flow back to the Risk Repository.</w:t>
            </w:r>
          </w:p>
        </w:tc>
      </w:tr>
    </w:tbl>
    <w:p w14:paraId="3A7CA0FA"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VIII. Responding to Compliance Issues</w:t>
      </w:r>
    </w:p>
    <w:p w14:paraId="5A385EFA" w14:textId="77777777" w:rsidR="004A0887" w:rsidRPr="00E23F5E" w:rsidRDefault="00000000">
      <w:pPr>
        <w:spacing w:after="160" w:line="300" w:lineRule="auto"/>
        <w:rPr>
          <w:rFonts w:asciiTheme="majorHAnsi" w:hAnsiTheme="majorHAnsi"/>
        </w:rPr>
      </w:pPr>
      <w:r w:rsidRPr="00E23F5E">
        <w:rPr>
          <w:rFonts w:asciiTheme="majorHAnsi" w:hAnsiTheme="majorHAnsi"/>
        </w:rPr>
        <w:t>CHPIV maintains a structured approach for identifying, investigating, and resolving compliance concerns. Issues are detected through audits, monitoring, hotline and email reports, regulatory communications, and self-disclosure by employees, contractors, or delegates. Each report is logged, triaged, and assigned for investigation under standardized protocols designed to ensure thorough, impartial, and consistent handling. High-risk or complex issues are escalated to leadership and, when required, to regulators.</w:t>
      </w:r>
    </w:p>
    <w:p w14:paraId="3FA08A97" w14:textId="77777777" w:rsidR="004A0887" w:rsidRPr="00E23F5E" w:rsidRDefault="00000000">
      <w:pPr>
        <w:spacing w:after="160" w:line="300" w:lineRule="auto"/>
        <w:rPr>
          <w:rFonts w:asciiTheme="majorHAnsi" w:hAnsiTheme="majorHAnsi"/>
        </w:rPr>
      </w:pPr>
      <w:r w:rsidRPr="00E23F5E">
        <w:rPr>
          <w:rFonts w:asciiTheme="majorHAnsi" w:hAnsiTheme="majorHAnsi"/>
        </w:rPr>
        <w:t xml:space="preserve">Corrective Action Plans (CAPs) are issued, developed, and executed to address noncompliance, with a focus on root cause and prevention of recurrence. CAPs are governed by CMP-003 and managed under the validation discipline established in the Risk Management Program: a CAP that has been implemented </w:t>
      </w:r>
      <w:r w:rsidRPr="00E23F5E">
        <w:rPr>
          <w:rFonts w:asciiTheme="majorHAnsi" w:hAnsiTheme="majorHAnsi"/>
        </w:rPr>
        <w:lastRenderedPageBreak/>
        <w:t>but not validated remains open, and the associated risk remains active in the Risk Repository. Noncompliance involving delegated entities is managed in accordance with CMP-002 Delegation Oversight.</w:t>
      </w:r>
    </w:p>
    <w:p w14:paraId="0CF1A0AB" w14:textId="77777777" w:rsidR="004A0887" w:rsidRPr="00E23F5E" w:rsidRDefault="00000000">
      <w:pPr>
        <w:spacing w:after="160" w:line="300" w:lineRule="auto"/>
        <w:rPr>
          <w:rFonts w:asciiTheme="majorHAnsi" w:hAnsiTheme="majorHAnsi"/>
        </w:rPr>
      </w:pPr>
      <w:r w:rsidRPr="00E23F5E">
        <w:rPr>
          <w:rFonts w:asciiTheme="majorHAnsi" w:hAnsiTheme="majorHAnsi"/>
        </w:rPr>
        <w:t>Where employee conduct is implicated, CHPIV applies progressive disciplinary action consistent with Section XII.C.</w:t>
      </w:r>
    </w:p>
    <w:p w14:paraId="2CAD837C"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IX. Privacy and Fraud, Waste, and Abuse</w:t>
      </w:r>
    </w:p>
    <w:p w14:paraId="1799EAD7" w14:textId="77777777" w:rsidR="004A0887" w:rsidRPr="00E23F5E" w:rsidRDefault="00000000">
      <w:pPr>
        <w:pStyle w:val="Heading2"/>
        <w:rPr>
          <w:rFonts w:asciiTheme="majorHAnsi" w:hAnsiTheme="majorHAnsi"/>
        </w:rPr>
      </w:pPr>
      <w:r w:rsidRPr="00E23F5E">
        <w:rPr>
          <w:rFonts w:asciiTheme="majorHAnsi" w:hAnsiTheme="majorHAnsi"/>
        </w:rPr>
        <w:t>A. Privacy</w:t>
      </w:r>
    </w:p>
    <w:p w14:paraId="06D2F5D4" w14:textId="77777777" w:rsidR="004A0887" w:rsidRPr="00E23F5E" w:rsidRDefault="00000000">
      <w:pPr>
        <w:spacing w:after="160" w:line="300" w:lineRule="auto"/>
        <w:rPr>
          <w:rFonts w:asciiTheme="majorHAnsi" w:hAnsiTheme="majorHAnsi"/>
        </w:rPr>
      </w:pPr>
      <w:r w:rsidRPr="00E23F5E">
        <w:rPr>
          <w:rFonts w:asciiTheme="majorHAnsi" w:hAnsiTheme="majorHAnsi"/>
        </w:rPr>
        <w:t>CHPIV is committed to compliance with federal and state privacy and security requirements and continuously monitors regulatory developments to update privacy and security policies. CHPIV provides clear guidelines for the handling and protection of Protected Health Information (PHI) and Personally Identifiable Information (PII), conducts regular HIPAA training, and maintains established procedures for reporting and managing breaches or unauthorized disclosures. Privacy incidents are tracked in accordance with CMP-005, CMP-011, and CMP-012, and systemic privacy risks are logged in the Risk Repository.</w:t>
      </w:r>
    </w:p>
    <w:p w14:paraId="662D7093" w14:textId="77777777" w:rsidR="004A0887" w:rsidRPr="00E23F5E" w:rsidRDefault="00000000">
      <w:pPr>
        <w:pStyle w:val="Heading2"/>
        <w:rPr>
          <w:rFonts w:asciiTheme="majorHAnsi" w:hAnsiTheme="majorHAnsi"/>
        </w:rPr>
      </w:pPr>
      <w:r w:rsidRPr="00E23F5E">
        <w:rPr>
          <w:rFonts w:asciiTheme="majorHAnsi" w:hAnsiTheme="majorHAnsi"/>
        </w:rPr>
        <w:t>B. Fraud, Waste, and Abuse</w:t>
      </w:r>
    </w:p>
    <w:p w14:paraId="784497D5" w14:textId="77777777" w:rsidR="004A0887" w:rsidRPr="00E23F5E" w:rsidRDefault="00000000">
      <w:pPr>
        <w:spacing w:after="160" w:line="300" w:lineRule="auto"/>
        <w:rPr>
          <w:rFonts w:asciiTheme="majorHAnsi" w:hAnsiTheme="majorHAnsi"/>
        </w:rPr>
      </w:pPr>
      <w:r w:rsidRPr="00E23F5E">
        <w:rPr>
          <w:rFonts w:asciiTheme="majorHAnsi" w:hAnsiTheme="majorHAnsi"/>
        </w:rPr>
        <w:t>CHPIV’s Fraud, Waste, and Abuse (FWA) program is designed to prevent, detect, and correct fraudulent activity. The program includes investigation of suspected FWA, accessible reporting channels, training and education for employees and contractors, and corrective action where issues are identified. CHPIV cooperates with regulator-led fraud prevention initiatives, including CMS pre-payment integrity activities, and refers matters to regulators or law enforcement as required. Compliance failures confirmed through FWA referrals — specifically, oversight gaps, delegation failures, or process breakdowns — are logged in the Risk Repository in accordance with the Risk Management Program.</w:t>
      </w:r>
    </w:p>
    <w:p w14:paraId="7A81BDD0"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X. Training and Education</w:t>
      </w:r>
    </w:p>
    <w:p w14:paraId="5E5BC315" w14:textId="77777777" w:rsidR="004A0887" w:rsidRPr="00E23F5E" w:rsidRDefault="00000000">
      <w:pPr>
        <w:spacing w:after="160" w:line="300" w:lineRule="auto"/>
        <w:rPr>
          <w:rFonts w:asciiTheme="majorHAnsi" w:hAnsiTheme="majorHAnsi"/>
        </w:rPr>
      </w:pPr>
      <w:r w:rsidRPr="00E23F5E">
        <w:rPr>
          <w:rFonts w:asciiTheme="majorHAnsi" w:hAnsiTheme="majorHAnsi"/>
        </w:rPr>
        <w:t>CHPIV’s Training and Education Program, governed by CMP-006, provides comprehensive compliance training for employees, delegated entities, the Chief Executive Officer, senior administrators, and Commissioners. Training addresses legal and ethical obligations under applicable laws, regulations, and federal health program requirements; is conducted at least annually; and is incorporated into the orientation of new employees, senior administrators, and governing body members. Completion is tracked and reported through the Compliance Department.</w:t>
      </w:r>
    </w:p>
    <w:p w14:paraId="0157D37A"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XI. Policies, Procedures, and Code of Conduct</w:t>
      </w:r>
    </w:p>
    <w:p w14:paraId="21589071" w14:textId="77777777" w:rsidR="004A0887" w:rsidRPr="00E23F5E" w:rsidRDefault="00000000">
      <w:pPr>
        <w:pStyle w:val="Heading2"/>
        <w:rPr>
          <w:rFonts w:asciiTheme="majorHAnsi" w:hAnsiTheme="majorHAnsi"/>
        </w:rPr>
      </w:pPr>
      <w:r w:rsidRPr="00E23F5E">
        <w:rPr>
          <w:rFonts w:asciiTheme="majorHAnsi" w:hAnsiTheme="majorHAnsi"/>
        </w:rPr>
        <w:lastRenderedPageBreak/>
        <w:t>A. Policies and Procedures</w:t>
      </w:r>
    </w:p>
    <w:p w14:paraId="5DA9FD77" w14:textId="77777777" w:rsidR="004A0887" w:rsidRPr="00E23F5E" w:rsidRDefault="00000000">
      <w:pPr>
        <w:spacing w:after="160" w:line="300" w:lineRule="auto"/>
        <w:rPr>
          <w:rFonts w:asciiTheme="majorHAnsi" w:hAnsiTheme="majorHAnsi"/>
        </w:rPr>
      </w:pPr>
      <w:r w:rsidRPr="00E23F5E">
        <w:rPr>
          <w:rFonts w:asciiTheme="majorHAnsi" w:hAnsiTheme="majorHAnsi"/>
        </w:rPr>
        <w:t>Policies and procedures are the operational foundation of the Compliance Program. The Compliance Department oversees the review and approval process under CMP-001 and maintains a centralized repository of approved policies. Each policy is reviewed at least annually, with stakeholder collaboration for development and updates, and updates are communicated to affected stakeholders. Current policies and procedures are accessible to staff in the CHPIV Policies &amp; Procedures Repository.</w:t>
      </w:r>
    </w:p>
    <w:p w14:paraId="5D6DAF55" w14:textId="77777777" w:rsidR="004A0887" w:rsidRPr="00E23F5E" w:rsidRDefault="00000000">
      <w:pPr>
        <w:spacing w:before="80" w:after="160" w:line="300" w:lineRule="auto"/>
        <w:rPr>
          <w:rFonts w:asciiTheme="majorHAnsi" w:hAnsiTheme="majorHAnsi"/>
        </w:rPr>
      </w:pPr>
      <w:r w:rsidRPr="00E23F5E">
        <w:rPr>
          <w:rFonts w:asciiTheme="majorHAnsi" w:hAnsiTheme="majorHAnsi"/>
        </w:rPr>
        <w:t>The Compliance policies listed below provide detailed guidance for implementing the Compliance Program: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3100"/>
        <w:gridCol w:w="4760"/>
      </w:tblGrid>
      <w:tr w:rsidR="004A0887" w:rsidRPr="00E23F5E" w14:paraId="02ABC35E" w14:textId="77777777">
        <w:trPr>
          <w:tblHeader/>
        </w:trPr>
        <w:tc>
          <w:tcPr>
            <w:tcW w:w="150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53EC4404"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Policy #</w:t>
            </w:r>
          </w:p>
        </w:tc>
        <w:tc>
          <w:tcPr>
            <w:tcW w:w="310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29FA3C20"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Title</w:t>
            </w:r>
          </w:p>
        </w:tc>
        <w:tc>
          <w:tcPr>
            <w:tcW w:w="476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7FE155F6"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Description</w:t>
            </w:r>
          </w:p>
        </w:tc>
      </w:tr>
      <w:tr w:rsidR="004A0887" w:rsidRPr="00E23F5E" w14:paraId="626C4202" w14:textId="77777777">
        <w:tc>
          <w:tcPr>
            <w:tcW w:w="15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272B083"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CMP-001</w:t>
            </w:r>
          </w:p>
        </w:tc>
        <w:tc>
          <w:tcPr>
            <w:tcW w:w="31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54EA5062"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Writing and Processing Policies and Procedures</w:t>
            </w:r>
          </w:p>
        </w:tc>
        <w:tc>
          <w:tcPr>
            <w:tcW w:w="47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3C1A9253"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Outlines the process for managing CHPIV policies to ensure compliance with regulations, contracts, and accreditation, with the Compliance Department as the responsible unit.</w:t>
            </w:r>
          </w:p>
        </w:tc>
      </w:tr>
      <w:tr w:rsidR="004A0887" w:rsidRPr="00E23F5E" w14:paraId="28890A61" w14:textId="77777777">
        <w:tc>
          <w:tcPr>
            <w:tcW w:w="15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6E2D27FB"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CMP-002</w:t>
            </w:r>
          </w:p>
        </w:tc>
        <w:tc>
          <w:tcPr>
            <w:tcW w:w="31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5563BF8B"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Delegation Oversight</w:t>
            </w:r>
          </w:p>
        </w:tc>
        <w:tc>
          <w:tcPr>
            <w:tcW w:w="47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6EB81EF8"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Sets standards for overseeing delegated entities to ensure compliance with regulations, contracts, and CHPIV policies, with ongoing audits and monitoring under the Audit &amp; Monitoring Program.</w:t>
            </w:r>
          </w:p>
        </w:tc>
      </w:tr>
      <w:tr w:rsidR="004A0887" w:rsidRPr="00E23F5E" w14:paraId="21A6BAAC" w14:textId="77777777">
        <w:tc>
          <w:tcPr>
            <w:tcW w:w="15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2C5FEF80"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CMP-003</w:t>
            </w:r>
          </w:p>
        </w:tc>
        <w:tc>
          <w:tcPr>
            <w:tcW w:w="31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7773C72E"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Corrective Action Plans</w:t>
            </w:r>
          </w:p>
        </w:tc>
        <w:tc>
          <w:tcPr>
            <w:tcW w:w="47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2FAD2D11"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Establishes the process for developing and implementing CAPs to address noncompliance, including root cause analysis, corrective measures, and validation of effectiveness.</w:t>
            </w:r>
          </w:p>
        </w:tc>
      </w:tr>
      <w:tr w:rsidR="004A0887" w:rsidRPr="00E23F5E" w14:paraId="726011B5" w14:textId="77777777">
        <w:tc>
          <w:tcPr>
            <w:tcW w:w="15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145415A1"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CMP-004</w:t>
            </w:r>
          </w:p>
        </w:tc>
        <w:tc>
          <w:tcPr>
            <w:tcW w:w="31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78CE7D5A"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Implementation of Regulatory Notifications</w:t>
            </w:r>
          </w:p>
        </w:tc>
        <w:tc>
          <w:tcPr>
            <w:tcW w:w="47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24ABEAEB"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Outlines the process for organization-wide implementation of regulatory notifications issued by regulatory agencies.</w:t>
            </w:r>
          </w:p>
        </w:tc>
      </w:tr>
      <w:tr w:rsidR="004A0887" w:rsidRPr="00E23F5E" w14:paraId="123AB830" w14:textId="77777777">
        <w:tc>
          <w:tcPr>
            <w:tcW w:w="15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A9452E0"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CMP-005</w:t>
            </w:r>
          </w:p>
        </w:tc>
        <w:tc>
          <w:tcPr>
            <w:tcW w:w="31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573C3A9C"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Confidentiality and Member Privacy</w:t>
            </w:r>
          </w:p>
        </w:tc>
        <w:tc>
          <w:tcPr>
            <w:tcW w:w="47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3CA14757"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Outlines CHPIV requirements for maintaining confidentiality and protecting member privacy, including safeguarding PHI, PII, and demographic data.</w:t>
            </w:r>
          </w:p>
        </w:tc>
      </w:tr>
      <w:tr w:rsidR="004A0887" w:rsidRPr="00E23F5E" w14:paraId="335CD59C" w14:textId="77777777">
        <w:tc>
          <w:tcPr>
            <w:tcW w:w="15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71B8CC45"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CMP-006</w:t>
            </w:r>
          </w:p>
        </w:tc>
        <w:tc>
          <w:tcPr>
            <w:tcW w:w="31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5981742B"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Compliance Training</w:t>
            </w:r>
          </w:p>
        </w:tc>
        <w:tc>
          <w:tcPr>
            <w:tcW w:w="47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56526E43"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Outlines requirements for CHPIV’s Compliance Training Program, applicable to all employees, subcontractors, and downstream subcontractors.</w:t>
            </w:r>
          </w:p>
        </w:tc>
      </w:tr>
      <w:tr w:rsidR="004A0887" w:rsidRPr="00E23F5E" w14:paraId="03579EBF" w14:textId="77777777">
        <w:tc>
          <w:tcPr>
            <w:tcW w:w="15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0B7B9046"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CMP-007</w:t>
            </w:r>
          </w:p>
        </w:tc>
        <w:tc>
          <w:tcPr>
            <w:tcW w:w="31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E5A95AA"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Escalation of Noncompliance Issues</w:t>
            </w:r>
          </w:p>
        </w:tc>
        <w:tc>
          <w:tcPr>
            <w:tcW w:w="47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42C5222"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Establishes a framework for identifying, communicating, investigating, and resolving compliance concerns, including self-disclosure to regulators where required.</w:t>
            </w:r>
          </w:p>
        </w:tc>
      </w:tr>
      <w:tr w:rsidR="004A0887" w:rsidRPr="00E23F5E" w14:paraId="316209B0" w14:textId="77777777">
        <w:tc>
          <w:tcPr>
            <w:tcW w:w="15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5371C84C"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lastRenderedPageBreak/>
              <w:t>CMP-008</w:t>
            </w:r>
          </w:p>
        </w:tc>
        <w:tc>
          <w:tcPr>
            <w:tcW w:w="31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4F1DED51"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Selecting a Chief Compliance Officer</w:t>
            </w:r>
          </w:p>
        </w:tc>
        <w:tc>
          <w:tcPr>
            <w:tcW w:w="47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4A2610DF"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Establishes a standardized process for the selection of a CCO who will ensure adherence to contractual requirements.</w:t>
            </w:r>
          </w:p>
        </w:tc>
      </w:tr>
      <w:tr w:rsidR="004A0887" w:rsidRPr="00E23F5E" w14:paraId="046DB0B3" w14:textId="77777777">
        <w:tc>
          <w:tcPr>
            <w:tcW w:w="15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91A7424"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CMP-009</w:t>
            </w:r>
          </w:p>
        </w:tc>
        <w:tc>
          <w:tcPr>
            <w:tcW w:w="31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26E63C55"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Fraud, Waste, and Abuse</w:t>
            </w:r>
          </w:p>
        </w:tc>
        <w:tc>
          <w:tcPr>
            <w:tcW w:w="47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9A545A5"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Establishes CHPIV’s Fraud Prevention Program to prevent, detect, and address FWA, with responsibilities for training, monitoring, reporting, and compliance.</w:t>
            </w:r>
          </w:p>
        </w:tc>
      </w:tr>
      <w:tr w:rsidR="004A0887" w:rsidRPr="00E23F5E" w14:paraId="360A11A6" w14:textId="77777777">
        <w:tc>
          <w:tcPr>
            <w:tcW w:w="15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7F2069C3"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CMP-010</w:t>
            </w:r>
          </w:p>
        </w:tc>
        <w:tc>
          <w:tcPr>
            <w:tcW w:w="31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19865A86"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Effective Lines of Communication</w:t>
            </w:r>
          </w:p>
        </w:tc>
        <w:tc>
          <w:tcPr>
            <w:tcW w:w="47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524B83BF"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Ensures open, accessible, and confidential channels for reporting compliance concerns and promoting ethical business practices, with non-retaliation protections.</w:t>
            </w:r>
          </w:p>
        </w:tc>
      </w:tr>
      <w:tr w:rsidR="004A0887" w:rsidRPr="00E23F5E" w14:paraId="5D42E00F" w14:textId="77777777">
        <w:tc>
          <w:tcPr>
            <w:tcW w:w="15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3B53F049"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CMP-011</w:t>
            </w:r>
          </w:p>
        </w:tc>
        <w:tc>
          <w:tcPr>
            <w:tcW w:w="31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E35F856"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Breach Notification</w:t>
            </w:r>
          </w:p>
        </w:tc>
        <w:tc>
          <w:tcPr>
            <w:tcW w:w="47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784D097"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Ensures compliance with state and federal laws regarding notification of affected individuals in the event of a breach of member privacy.</w:t>
            </w:r>
          </w:p>
        </w:tc>
      </w:tr>
      <w:tr w:rsidR="004A0887" w:rsidRPr="00E23F5E" w14:paraId="611EF70F" w14:textId="77777777">
        <w:tc>
          <w:tcPr>
            <w:tcW w:w="15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699A89EC"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CMP-012</w:t>
            </w:r>
          </w:p>
        </w:tc>
        <w:tc>
          <w:tcPr>
            <w:tcW w:w="31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68AA00D8"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Notice of Privacy Practices</w:t>
            </w:r>
          </w:p>
        </w:tc>
        <w:tc>
          <w:tcPr>
            <w:tcW w:w="47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5CEF3DB3"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Outlines content and distribution of CHPIV’s Notice of Privacy Practices and supporting privacy compliance monitoring.</w:t>
            </w:r>
          </w:p>
        </w:tc>
      </w:tr>
      <w:tr w:rsidR="004A0887" w:rsidRPr="00E23F5E" w14:paraId="45A1EB68" w14:textId="77777777">
        <w:tc>
          <w:tcPr>
            <w:tcW w:w="15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7BF8DE07"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CMP-013</w:t>
            </w:r>
          </w:p>
        </w:tc>
        <w:tc>
          <w:tcPr>
            <w:tcW w:w="31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56A9BBF"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Key Personnel Change</w:t>
            </w:r>
          </w:p>
        </w:tc>
        <w:tc>
          <w:tcPr>
            <w:tcW w:w="47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35E5A2C3"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Establishes a process for disclosing changes in executive-level personnel to DHCS and DMHC.</w:t>
            </w:r>
          </w:p>
        </w:tc>
      </w:tr>
    </w:tbl>
    <w:p w14:paraId="6FD0C314" w14:textId="77777777" w:rsidR="004A0887" w:rsidRPr="00E23F5E" w:rsidRDefault="00000000">
      <w:pPr>
        <w:pStyle w:val="Heading2"/>
        <w:rPr>
          <w:rFonts w:asciiTheme="majorHAnsi" w:hAnsiTheme="majorHAnsi"/>
        </w:rPr>
      </w:pPr>
      <w:r w:rsidRPr="00E23F5E">
        <w:rPr>
          <w:rFonts w:asciiTheme="majorHAnsi" w:hAnsiTheme="majorHAnsi"/>
        </w:rPr>
        <w:t>B. Code of Conduct</w:t>
      </w:r>
    </w:p>
    <w:p w14:paraId="36D8CF5A" w14:textId="77777777" w:rsidR="004A0887" w:rsidRPr="00E23F5E" w:rsidRDefault="00000000">
      <w:pPr>
        <w:spacing w:after="160" w:line="300" w:lineRule="auto"/>
        <w:rPr>
          <w:rFonts w:asciiTheme="majorHAnsi" w:hAnsiTheme="majorHAnsi"/>
        </w:rPr>
      </w:pPr>
      <w:r w:rsidRPr="00E23F5E">
        <w:rPr>
          <w:rFonts w:asciiTheme="majorHAnsi" w:hAnsiTheme="majorHAnsi"/>
        </w:rPr>
        <w:t>The Code of Conduct establishes the standards of ethical behavior and compliance expected throughout the organization. It emphasizes adherence to applicable laws, regulations, and industry best practices; safeguards sensitive information; requires identification and management of potential conflicts of interest; prohibits workplace discrimination and harassment; and protects whistleblowers. All employees acknowledge the Code annually, and training reinforces its principles. The Code of Conduct is available on CHPIV’s website.</w:t>
      </w:r>
    </w:p>
    <w:p w14:paraId="3697778D"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XII. Lines of Communication, Self-Disclosure, and Discipline</w:t>
      </w:r>
    </w:p>
    <w:p w14:paraId="6BD23D7A" w14:textId="77777777" w:rsidR="004A0887" w:rsidRPr="00E23F5E" w:rsidRDefault="00000000">
      <w:pPr>
        <w:pStyle w:val="Heading2"/>
        <w:rPr>
          <w:rFonts w:asciiTheme="majorHAnsi" w:hAnsiTheme="majorHAnsi"/>
        </w:rPr>
      </w:pPr>
      <w:r w:rsidRPr="00E23F5E">
        <w:rPr>
          <w:rFonts w:asciiTheme="majorHAnsi" w:hAnsiTheme="majorHAnsi"/>
        </w:rPr>
        <w:t>A. Reporting Compliance Issues</w:t>
      </w:r>
    </w:p>
    <w:p w14:paraId="7B8D68AE" w14:textId="77777777" w:rsidR="004A0887" w:rsidRPr="00E23F5E" w:rsidRDefault="00000000">
      <w:pPr>
        <w:spacing w:after="160" w:line="300" w:lineRule="auto"/>
        <w:rPr>
          <w:rFonts w:asciiTheme="majorHAnsi" w:hAnsiTheme="majorHAnsi"/>
        </w:rPr>
      </w:pPr>
      <w:r w:rsidRPr="00E23F5E">
        <w:rPr>
          <w:rFonts w:asciiTheme="majorHAnsi" w:hAnsiTheme="majorHAnsi"/>
        </w:rPr>
        <w:t>CHPIV maintains multiple reporting channels, including a confidential Compliance Hotline, a designated Compliance email address, and direct contact with the Chief Compliance Officer. These channels are regularly communicated to staff and stakeholders through training and are available for confidential and anonymous reporting of:</w:t>
      </w:r>
    </w:p>
    <w:p w14:paraId="7AF5C2AF"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rPr>
        <w:lastRenderedPageBreak/>
        <w:t>Incidents of fraud, waste, and abuse;</w:t>
      </w:r>
    </w:p>
    <w:p w14:paraId="413AADEF"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rPr>
        <w:t>Criminal activity (fraud, kickbacks, embezzlement, theft, and similar);</w:t>
      </w:r>
    </w:p>
    <w:p w14:paraId="032F7522"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rPr>
        <w:t>Conflict of interest concerns;</w:t>
      </w:r>
    </w:p>
    <w:p w14:paraId="4EAD3B85"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rPr>
        <w:t>Code of Conduct violations;</w:t>
      </w:r>
    </w:p>
    <w:p w14:paraId="66D13090" w14:textId="77777777" w:rsidR="004A0887" w:rsidRPr="00E23F5E" w:rsidRDefault="00000000">
      <w:pPr>
        <w:pStyle w:val="ListParagraph"/>
        <w:numPr>
          <w:ilvl w:val="0"/>
          <w:numId w:val="2"/>
        </w:numPr>
        <w:spacing w:after="80" w:line="300" w:lineRule="auto"/>
        <w:rPr>
          <w:rFonts w:asciiTheme="majorHAnsi" w:hAnsiTheme="majorHAnsi"/>
        </w:rPr>
      </w:pPr>
      <w:r w:rsidRPr="00E23F5E">
        <w:rPr>
          <w:rFonts w:asciiTheme="majorHAnsi" w:hAnsiTheme="majorHAnsi"/>
        </w:rPr>
        <w:t>Privacy and information security incidents.</w:t>
      </w:r>
    </w:p>
    <w:p w14:paraId="0240ED97" w14:textId="77777777" w:rsidR="004A0887" w:rsidRPr="00E23F5E" w:rsidRDefault="00000000">
      <w:pPr>
        <w:spacing w:before="100" w:after="160" w:line="300" w:lineRule="auto"/>
        <w:rPr>
          <w:rFonts w:asciiTheme="majorHAnsi" w:hAnsiTheme="majorHAnsi"/>
        </w:rPr>
      </w:pPr>
      <w:r w:rsidRPr="00E23F5E">
        <w:rPr>
          <w:rFonts w:asciiTheme="majorHAnsi" w:hAnsiTheme="majorHAnsi"/>
        </w:rPr>
        <w:t>Verbal and written communications to the Compliance Hotline or the Compliance Department are treated confidentially within the bounds of applicable law. Anonymity is respected; reporters are not required to provide their names. Retaliation against any person for reporting in good faith is prohibited.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4A0887" w:rsidRPr="00E23F5E" w14:paraId="248DAB23" w14:textId="77777777">
        <w:trPr>
          <w:tblHeader/>
        </w:trPr>
        <w:tc>
          <w:tcPr>
            <w:tcW w:w="300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0FE77534"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Channel</w:t>
            </w:r>
          </w:p>
        </w:tc>
        <w:tc>
          <w:tcPr>
            <w:tcW w:w="6360" w:type="dxa"/>
            <w:tcBorders>
              <w:top w:val="single" w:sz="4" w:space="0" w:color="8DA8C9"/>
              <w:left w:val="single" w:sz="4" w:space="0" w:color="8DA8C9"/>
              <w:bottom w:val="single" w:sz="4" w:space="0" w:color="8DA8C9"/>
              <w:right w:val="single" w:sz="4" w:space="0" w:color="8DA8C9"/>
            </w:tcBorders>
            <w:shd w:val="clear" w:color="auto" w:fill="DCE6F1"/>
            <w:tcMar>
              <w:top w:w="100" w:type="dxa"/>
              <w:left w:w="120" w:type="dxa"/>
              <w:bottom w:w="100" w:type="dxa"/>
              <w:right w:w="120" w:type="dxa"/>
            </w:tcMar>
            <w:vAlign w:val="center"/>
          </w:tcPr>
          <w:p w14:paraId="3D87F9F9"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color w:val="1F4E79"/>
                <w:sz w:val="20"/>
                <w:szCs w:val="20"/>
              </w:rPr>
              <w:t>Contact</w:t>
            </w:r>
          </w:p>
        </w:tc>
      </w:tr>
      <w:tr w:rsidR="004A0887" w:rsidRPr="00E23F5E" w14:paraId="16223820" w14:textId="77777777">
        <w:tc>
          <w:tcPr>
            <w:tcW w:w="30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9EB23D8"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Compliance Hotline</w:t>
            </w:r>
          </w:p>
        </w:tc>
        <w:tc>
          <w:tcPr>
            <w:tcW w:w="63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7CCB1644"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800-919-4947 (confidential and anonymous)</w:t>
            </w:r>
          </w:p>
        </w:tc>
      </w:tr>
      <w:tr w:rsidR="004A0887" w:rsidRPr="00E23F5E" w14:paraId="74ECC2DA" w14:textId="77777777">
        <w:tc>
          <w:tcPr>
            <w:tcW w:w="30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39CFDC32"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Chief Compliance Officer</w:t>
            </w:r>
          </w:p>
        </w:tc>
        <w:tc>
          <w:tcPr>
            <w:tcW w:w="63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763F4952"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Direct line and email available on CHPIV’s website and internal directory</w:t>
            </w:r>
          </w:p>
        </w:tc>
      </w:tr>
      <w:tr w:rsidR="004A0887" w:rsidRPr="00E23F5E" w14:paraId="7BDC3F79" w14:textId="77777777">
        <w:tc>
          <w:tcPr>
            <w:tcW w:w="30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39FC0CF9"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Compliance Department</w:t>
            </w:r>
          </w:p>
        </w:tc>
        <w:tc>
          <w:tcPr>
            <w:tcW w:w="63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158A75F7"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Compliance@chpiv.org</w:t>
            </w:r>
          </w:p>
        </w:tc>
      </w:tr>
      <w:tr w:rsidR="004A0887" w:rsidRPr="00E23F5E" w14:paraId="5D00002C" w14:textId="77777777">
        <w:tc>
          <w:tcPr>
            <w:tcW w:w="300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4B7BEE61"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Human Resources</w:t>
            </w:r>
          </w:p>
        </w:tc>
        <w:tc>
          <w:tcPr>
            <w:tcW w:w="6360" w:type="dxa"/>
            <w:tcBorders>
              <w:top w:val="single" w:sz="4" w:space="0" w:color="8DA8C9"/>
              <w:left w:val="single" w:sz="4" w:space="0" w:color="8DA8C9"/>
              <w:bottom w:val="single" w:sz="4" w:space="0" w:color="8DA8C9"/>
              <w:right w:val="single" w:sz="4" w:space="0" w:color="8DA8C9"/>
            </w:tcBorders>
            <w:shd w:val="clear" w:color="auto" w:fill="F4F7FB"/>
            <w:tcMar>
              <w:top w:w="80" w:type="dxa"/>
              <w:left w:w="120" w:type="dxa"/>
              <w:bottom w:w="80" w:type="dxa"/>
              <w:right w:w="120" w:type="dxa"/>
            </w:tcMar>
            <w:vAlign w:val="center"/>
          </w:tcPr>
          <w:p w14:paraId="6C74EEF4"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Contact information available on CHPIV’s internal directory</w:t>
            </w:r>
          </w:p>
        </w:tc>
      </w:tr>
      <w:tr w:rsidR="004A0887" w:rsidRPr="00E23F5E" w14:paraId="27930F8E" w14:textId="77777777">
        <w:tc>
          <w:tcPr>
            <w:tcW w:w="300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641389CC" w14:textId="77777777" w:rsidR="004A0887" w:rsidRPr="00E23F5E" w:rsidRDefault="00000000">
            <w:pPr>
              <w:spacing w:before="40" w:after="40" w:line="280" w:lineRule="auto"/>
              <w:rPr>
                <w:rFonts w:asciiTheme="majorHAnsi" w:hAnsiTheme="majorHAnsi"/>
              </w:rPr>
            </w:pPr>
            <w:r w:rsidRPr="00E23F5E">
              <w:rPr>
                <w:rFonts w:asciiTheme="majorHAnsi" w:hAnsiTheme="majorHAnsi"/>
                <w:b/>
                <w:bCs/>
                <w:sz w:val="20"/>
                <w:szCs w:val="20"/>
              </w:rPr>
              <w:t>Online Reporting Form</w:t>
            </w:r>
          </w:p>
        </w:tc>
        <w:tc>
          <w:tcPr>
            <w:tcW w:w="6360" w:type="dxa"/>
            <w:tcBorders>
              <w:top w:val="single" w:sz="4" w:space="0" w:color="8DA8C9"/>
              <w:left w:val="single" w:sz="4" w:space="0" w:color="8DA8C9"/>
              <w:bottom w:val="single" w:sz="4" w:space="0" w:color="8DA8C9"/>
              <w:right w:val="single" w:sz="4" w:space="0" w:color="8DA8C9"/>
            </w:tcBorders>
            <w:tcMar>
              <w:top w:w="80" w:type="dxa"/>
              <w:left w:w="120" w:type="dxa"/>
              <w:bottom w:w="80" w:type="dxa"/>
              <w:right w:w="120" w:type="dxa"/>
            </w:tcMar>
            <w:vAlign w:val="center"/>
          </w:tcPr>
          <w:p w14:paraId="5C9A53F0" w14:textId="77777777" w:rsidR="004A0887" w:rsidRPr="00E23F5E" w:rsidRDefault="00000000">
            <w:pPr>
              <w:spacing w:before="40" w:after="40" w:line="280" w:lineRule="auto"/>
              <w:rPr>
                <w:rFonts w:asciiTheme="majorHAnsi" w:hAnsiTheme="majorHAnsi"/>
              </w:rPr>
            </w:pPr>
            <w:r w:rsidRPr="00E23F5E">
              <w:rPr>
                <w:rFonts w:asciiTheme="majorHAnsi" w:hAnsiTheme="majorHAnsi"/>
                <w:sz w:val="20"/>
                <w:szCs w:val="20"/>
              </w:rPr>
              <w:t>Committed to Compliance — available on the CHPIV website</w:t>
            </w:r>
          </w:p>
        </w:tc>
      </w:tr>
    </w:tbl>
    <w:p w14:paraId="4FC88D9B" w14:textId="77777777" w:rsidR="004A0887" w:rsidRPr="00E23F5E" w:rsidRDefault="00000000">
      <w:pPr>
        <w:pStyle w:val="Heading2"/>
        <w:rPr>
          <w:rFonts w:asciiTheme="majorHAnsi" w:hAnsiTheme="majorHAnsi"/>
        </w:rPr>
      </w:pPr>
      <w:r w:rsidRPr="00E23F5E">
        <w:rPr>
          <w:rFonts w:asciiTheme="majorHAnsi" w:hAnsiTheme="majorHAnsi"/>
        </w:rPr>
        <w:t>B. Voluntary Self-Reporting of Noncompliance</w:t>
      </w:r>
    </w:p>
    <w:p w14:paraId="5BED5709" w14:textId="77777777" w:rsidR="004A0887" w:rsidRPr="00E23F5E" w:rsidRDefault="00000000">
      <w:pPr>
        <w:spacing w:after="160" w:line="300" w:lineRule="auto"/>
        <w:rPr>
          <w:rFonts w:asciiTheme="majorHAnsi" w:hAnsiTheme="majorHAnsi"/>
        </w:rPr>
      </w:pPr>
      <w:r w:rsidRPr="00E23F5E">
        <w:rPr>
          <w:rFonts w:asciiTheme="majorHAnsi" w:hAnsiTheme="majorHAnsi"/>
        </w:rPr>
        <w:t>CHPIV voluntarily self-reports noncompliance — including potential fraud, waste, abuse, and misconduct — to regulatory agencies including CMS, DMHC, and DHCS as required by law, contract, or regulator request. The Compliance Department assesses each issue, determines whether self-reporting is required, and documents the investigation, findings, and corrective actions in the Risk Repository.</w:t>
      </w:r>
    </w:p>
    <w:p w14:paraId="3B30EB68" w14:textId="77777777" w:rsidR="004A0887" w:rsidRPr="00E23F5E" w:rsidRDefault="00000000">
      <w:pPr>
        <w:spacing w:after="160" w:line="300" w:lineRule="auto"/>
        <w:rPr>
          <w:rFonts w:asciiTheme="majorHAnsi" w:hAnsiTheme="majorHAnsi"/>
        </w:rPr>
      </w:pPr>
      <w:r w:rsidRPr="00E23F5E">
        <w:rPr>
          <w:rFonts w:asciiTheme="majorHAnsi" w:hAnsiTheme="majorHAnsi"/>
          <w:b/>
          <w:bCs/>
        </w:rPr>
        <w:t xml:space="preserve">Criteria for self-reporting. </w:t>
      </w:r>
      <w:r w:rsidRPr="00E23F5E">
        <w:rPr>
          <w:rFonts w:asciiTheme="majorHAnsi" w:hAnsiTheme="majorHAnsi"/>
        </w:rPr>
        <w:t>CHPIV self-reports when (1) there is evidence of intentional fraud, misconduct, or systemic noncompliance; (2) the issue results in improper payments, regulatory violations, or potential harm to members; or (3) reporting is required by law, contract, or at the request of a regulator.</w:t>
      </w:r>
    </w:p>
    <w:p w14:paraId="5EC3C747" w14:textId="77777777" w:rsidR="004A0887" w:rsidRPr="00E23F5E" w:rsidRDefault="00000000">
      <w:pPr>
        <w:spacing w:after="160" w:line="300" w:lineRule="auto"/>
        <w:rPr>
          <w:rFonts w:asciiTheme="majorHAnsi" w:hAnsiTheme="majorHAnsi"/>
        </w:rPr>
      </w:pPr>
      <w:r w:rsidRPr="00E23F5E">
        <w:rPr>
          <w:rFonts w:asciiTheme="majorHAnsi" w:hAnsiTheme="majorHAnsi"/>
          <w:b/>
          <w:bCs/>
        </w:rPr>
        <w:t xml:space="preserve">Self-disclosure mechanics. </w:t>
      </w:r>
      <w:r w:rsidRPr="00E23F5E">
        <w:rPr>
          <w:rFonts w:asciiTheme="majorHAnsi" w:hAnsiTheme="majorHAnsi"/>
        </w:rPr>
        <w:t>When an issue meets self-reporting criteria, CHPIV prepares and submits a Self-Disclosure Report through the designated method (e.g., CMS HPMS, DMHC online portal, or direct submission to the DHCS Contract Manager), including a summary of the issue, parties involved, and potential impact; root cause and corrective actions taken or planned; and supporting documentation. CHPIV cooperates fully with regulator follow-up and implements additional corrective action as needed.</w:t>
      </w:r>
    </w:p>
    <w:p w14:paraId="17C0C81C" w14:textId="77777777" w:rsidR="004A0887" w:rsidRPr="00E23F5E" w:rsidRDefault="00000000">
      <w:pPr>
        <w:pStyle w:val="Heading2"/>
        <w:rPr>
          <w:rFonts w:asciiTheme="majorHAnsi" w:hAnsiTheme="majorHAnsi"/>
        </w:rPr>
      </w:pPr>
      <w:r w:rsidRPr="00E23F5E">
        <w:rPr>
          <w:rFonts w:asciiTheme="majorHAnsi" w:hAnsiTheme="majorHAnsi"/>
        </w:rPr>
        <w:t>C. Disciplinary Standards</w:t>
      </w:r>
    </w:p>
    <w:p w14:paraId="59C9A16D" w14:textId="77777777" w:rsidR="004A0887" w:rsidRPr="00E23F5E" w:rsidRDefault="00000000">
      <w:pPr>
        <w:spacing w:after="160" w:line="300" w:lineRule="auto"/>
        <w:rPr>
          <w:rFonts w:asciiTheme="majorHAnsi" w:hAnsiTheme="majorHAnsi"/>
        </w:rPr>
      </w:pPr>
      <w:r w:rsidRPr="00E23F5E">
        <w:rPr>
          <w:rFonts w:asciiTheme="majorHAnsi" w:hAnsiTheme="majorHAnsi"/>
        </w:rPr>
        <w:t xml:space="preserve">CHPIV maintains disciplinary standards and enforcement procedures that promote compliance, accountability, and ethical conduct. These standards encourage good-faith participation in the </w:t>
      </w:r>
      <w:r w:rsidRPr="00E23F5E">
        <w:rPr>
          <w:rFonts w:asciiTheme="majorHAnsi" w:hAnsiTheme="majorHAnsi"/>
        </w:rPr>
        <w:lastRenderedPageBreak/>
        <w:t>Compliance Program by setting clear expectations, defining consequences for noncompliance, and ensuring consistent enforcement.</w:t>
      </w:r>
    </w:p>
    <w:p w14:paraId="2742C8D6" w14:textId="77777777" w:rsidR="004A0887" w:rsidRPr="00E23F5E" w:rsidRDefault="00000000">
      <w:pPr>
        <w:spacing w:after="160" w:line="300" w:lineRule="auto"/>
        <w:rPr>
          <w:rFonts w:asciiTheme="majorHAnsi" w:hAnsiTheme="majorHAnsi"/>
        </w:rPr>
      </w:pPr>
      <w:r w:rsidRPr="00E23F5E">
        <w:rPr>
          <w:rFonts w:asciiTheme="majorHAnsi" w:hAnsiTheme="majorHAnsi"/>
        </w:rPr>
        <w:t>Progressive disciplinary actions for employees may include additional training, verbal and written warnings for minor violations, probationary periods with close monitoring for serious or repeated noncompliance, temporary suspension for significant violations, and termination for severe or repeated offenses. These standards are publicized through compliance policies, the employee handbook, training, and ongoing communications.</w:t>
      </w:r>
    </w:p>
    <w:p w14:paraId="481F8558" w14:textId="77777777" w:rsidR="004A0887" w:rsidRPr="00E23F5E" w:rsidRDefault="00000000">
      <w:pPr>
        <w:pStyle w:val="Heading1"/>
        <w:pBdr>
          <w:bottom w:val="single" w:sz="8" w:space="4" w:color="1F4E79"/>
        </w:pBdr>
        <w:rPr>
          <w:rFonts w:asciiTheme="majorHAnsi" w:hAnsiTheme="majorHAnsi"/>
        </w:rPr>
      </w:pPr>
      <w:r w:rsidRPr="00E23F5E">
        <w:rPr>
          <w:rFonts w:asciiTheme="majorHAnsi" w:hAnsiTheme="majorHAnsi"/>
        </w:rPr>
        <w:t>XIII. Program Review and Maintenance</w:t>
      </w:r>
    </w:p>
    <w:p w14:paraId="7C4B655F" w14:textId="77777777" w:rsidR="004A0887" w:rsidRPr="00E23F5E" w:rsidRDefault="00000000">
      <w:pPr>
        <w:spacing w:after="160" w:line="300" w:lineRule="auto"/>
        <w:rPr>
          <w:rFonts w:asciiTheme="majorHAnsi" w:hAnsiTheme="majorHAnsi"/>
        </w:rPr>
      </w:pPr>
      <w:r w:rsidRPr="00E23F5E">
        <w:rPr>
          <w:rFonts w:asciiTheme="majorHAnsi" w:hAnsiTheme="majorHAnsi"/>
        </w:rPr>
        <w:t>This Compliance Program is reviewed and updated at least annually by the Chief Compliance Officer, the Compliance &amp; Policy Committee, and the Regulatory Compliance Oversight Committee of the Commission. The review evaluates whether the Program’s scope, organizational structure, governance, and operating model remain appropriate given CHPIV’s regulatory environment, contractual obligations, and risk posture.</w:t>
      </w:r>
    </w:p>
    <w:p w14:paraId="1742FF10" w14:textId="735355CF" w:rsidR="004A0887" w:rsidRPr="00E23F5E" w:rsidRDefault="00000000" w:rsidP="000003EE">
      <w:pPr>
        <w:spacing w:after="160" w:line="300" w:lineRule="auto"/>
        <w:rPr>
          <w:rFonts w:asciiTheme="majorHAnsi" w:hAnsiTheme="majorHAnsi"/>
        </w:rPr>
      </w:pPr>
      <w:r w:rsidRPr="00E23F5E">
        <w:rPr>
          <w:rFonts w:asciiTheme="majorHAnsi" w:hAnsiTheme="majorHAnsi"/>
        </w:rPr>
        <w:t>Updates may also be triggered between annual cycles by material regulatory changes; significant enforcement actions or consent agreements; findings from regulatory audits, accreditation reviews, or internal reviews of the Compliance Program itself; or a leadership determination that the Program’s structure requires revision. Updates are coordinated with the annual review cycles of the Risk Management Program and the Audit &amp; Monitoring Program to keep the three documents aligned.</w:t>
      </w:r>
    </w:p>
    <w:sectPr w:rsidR="004A0887" w:rsidRPr="00E23F5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3DA6" w14:textId="77777777" w:rsidR="00920C7B" w:rsidRDefault="00920C7B">
      <w:r>
        <w:separator/>
      </w:r>
    </w:p>
  </w:endnote>
  <w:endnote w:type="continuationSeparator" w:id="0">
    <w:p w14:paraId="55D6D1EE" w14:textId="77777777" w:rsidR="00920C7B" w:rsidRDefault="0092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EF43" w14:textId="77777777" w:rsidR="004A0887" w:rsidRDefault="00000000">
    <w:pPr>
      <w:pBdr>
        <w:top w:val="single" w:sz="6" w:space="4" w:color="1F4E79"/>
      </w:pBdr>
      <w:tabs>
        <w:tab w:val="right" w:pos="9360"/>
      </w:tabs>
      <w:spacing w:before="40"/>
    </w:pPr>
    <w:r>
      <w:rPr>
        <w:i/>
        <w:iCs/>
        <w:color w:val="1F4E79"/>
        <w:sz w:val="18"/>
        <w:szCs w:val="18"/>
      </w:rPr>
      <w:t>Compliance Department</w:t>
    </w:r>
    <w:r>
      <w:rPr>
        <w:sz w:val="18"/>
        <w:szCs w:val="18"/>
      </w:rPr>
      <w:tab/>
    </w:r>
    <w:r>
      <w:rPr>
        <w:color w:val="1F4E79"/>
        <w:sz w:val="18"/>
        <w:szCs w:val="18"/>
      </w:rPr>
      <w:t xml:space="preserve">Page </w:t>
    </w:r>
    <w:r>
      <w:rPr>
        <w:color w:val="1F4E79"/>
        <w:sz w:val="18"/>
        <w:szCs w:val="18"/>
      </w:rPr>
      <w:fldChar w:fldCharType="begin"/>
    </w:r>
    <w:r>
      <w:rPr>
        <w:color w:val="1F4E79"/>
        <w:sz w:val="18"/>
        <w:szCs w:val="18"/>
      </w:rPr>
      <w:instrText>PAGE</w:instrText>
    </w:r>
    <w:r>
      <w:rPr>
        <w:color w:val="1F4E79"/>
        <w:sz w:val="18"/>
        <w:szCs w:val="18"/>
      </w:rPr>
      <w:fldChar w:fldCharType="separate"/>
    </w:r>
    <w:r w:rsidR="00E23F5E">
      <w:rPr>
        <w:noProof/>
        <w:color w:val="1F4E79"/>
        <w:sz w:val="18"/>
        <w:szCs w:val="18"/>
      </w:rPr>
      <w:t>1</w:t>
    </w:r>
    <w:r>
      <w:rPr>
        <w:color w:val="1F4E79"/>
        <w:sz w:val="18"/>
        <w:szCs w:val="18"/>
      </w:rPr>
      <w:fldChar w:fldCharType="end"/>
    </w:r>
    <w:r>
      <w:rPr>
        <w:color w:val="1F4E79"/>
        <w:sz w:val="18"/>
        <w:szCs w:val="18"/>
      </w:rPr>
      <w:t xml:space="preserve"> of </w:t>
    </w:r>
    <w:r>
      <w:rPr>
        <w:color w:val="1F4E79"/>
        <w:sz w:val="18"/>
        <w:szCs w:val="18"/>
      </w:rPr>
      <w:fldChar w:fldCharType="begin"/>
    </w:r>
    <w:r>
      <w:rPr>
        <w:color w:val="1F4E79"/>
        <w:sz w:val="18"/>
        <w:szCs w:val="18"/>
      </w:rPr>
      <w:instrText>NUMPAGES</w:instrText>
    </w:r>
    <w:r>
      <w:rPr>
        <w:color w:val="1F4E79"/>
        <w:sz w:val="18"/>
        <w:szCs w:val="18"/>
      </w:rPr>
      <w:fldChar w:fldCharType="separate"/>
    </w:r>
    <w:r w:rsidR="00E23F5E">
      <w:rPr>
        <w:noProof/>
        <w:color w:val="1F4E79"/>
        <w:sz w:val="18"/>
        <w:szCs w:val="18"/>
      </w:rPr>
      <w:t>2</w:t>
    </w:r>
    <w:r>
      <w:rPr>
        <w:color w:val="1F4E7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9398D" w14:textId="77777777" w:rsidR="00920C7B" w:rsidRDefault="00920C7B">
      <w:r>
        <w:separator/>
      </w:r>
    </w:p>
  </w:footnote>
  <w:footnote w:type="continuationSeparator" w:id="0">
    <w:p w14:paraId="1D669968" w14:textId="77777777" w:rsidR="00920C7B" w:rsidRDefault="00920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9896" w14:textId="6C29C51E" w:rsidR="004A0887" w:rsidRDefault="00E23F5E">
    <w:pPr>
      <w:pBdr>
        <w:bottom w:val="single" w:sz="6" w:space="4" w:color="1F4E79"/>
      </w:pBdr>
      <w:tabs>
        <w:tab w:val="right" w:pos="9360"/>
      </w:tabs>
      <w:spacing w:after="60"/>
    </w:pPr>
    <w:r>
      <w:rPr>
        <w:b/>
        <w:bCs/>
        <w:color w:val="1F4E79"/>
        <w:sz w:val="20"/>
        <w:szCs w:val="20"/>
      </w:rPr>
      <w:t>CHPIV</w:t>
    </w:r>
    <w:r>
      <w:rPr>
        <w:color w:val="1F4E79"/>
        <w:sz w:val="20"/>
        <w:szCs w:val="20"/>
      </w:rPr>
      <w:t xml:space="preserve"> |  </w:t>
    </w:r>
    <w:r>
      <w:rPr>
        <w:b/>
        <w:bCs/>
        <w:color w:val="1F4E79"/>
        <w:sz w:val="20"/>
        <w:szCs w:val="20"/>
      </w:rPr>
      <w:t>Compliance Program</w:t>
    </w:r>
    <w:r>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A1C"/>
    <w:multiLevelType w:val="hybridMultilevel"/>
    <w:tmpl w:val="B3483F40"/>
    <w:lvl w:ilvl="0" w:tplc="DC8EF29E">
      <w:start w:val="1"/>
      <w:numFmt w:val="bullet"/>
      <w:lvlText w:val="•"/>
      <w:lvlJc w:val="left"/>
      <w:pPr>
        <w:ind w:left="720" w:hanging="360"/>
      </w:pPr>
    </w:lvl>
    <w:lvl w:ilvl="1" w:tplc="3524203A">
      <w:start w:val="1"/>
      <w:numFmt w:val="bullet"/>
      <w:lvlText w:val="◦"/>
      <w:lvlJc w:val="left"/>
      <w:pPr>
        <w:ind w:left="1440" w:hanging="360"/>
      </w:pPr>
    </w:lvl>
    <w:lvl w:ilvl="2" w:tplc="D612ED1E">
      <w:numFmt w:val="decimal"/>
      <w:lvlText w:val=""/>
      <w:lvlJc w:val="left"/>
    </w:lvl>
    <w:lvl w:ilvl="3" w:tplc="33B4D2FC">
      <w:numFmt w:val="decimal"/>
      <w:lvlText w:val=""/>
      <w:lvlJc w:val="left"/>
    </w:lvl>
    <w:lvl w:ilvl="4" w:tplc="C738415C">
      <w:numFmt w:val="decimal"/>
      <w:lvlText w:val=""/>
      <w:lvlJc w:val="left"/>
    </w:lvl>
    <w:lvl w:ilvl="5" w:tplc="E41822C6">
      <w:numFmt w:val="decimal"/>
      <w:lvlText w:val=""/>
      <w:lvlJc w:val="left"/>
    </w:lvl>
    <w:lvl w:ilvl="6" w:tplc="63A416AA">
      <w:numFmt w:val="decimal"/>
      <w:lvlText w:val=""/>
      <w:lvlJc w:val="left"/>
    </w:lvl>
    <w:lvl w:ilvl="7" w:tplc="B802A418">
      <w:numFmt w:val="decimal"/>
      <w:lvlText w:val=""/>
      <w:lvlJc w:val="left"/>
    </w:lvl>
    <w:lvl w:ilvl="8" w:tplc="A79CA5FC">
      <w:numFmt w:val="decimal"/>
      <w:lvlText w:val=""/>
      <w:lvlJc w:val="left"/>
    </w:lvl>
  </w:abstractNum>
  <w:abstractNum w:abstractNumId="1" w15:restartNumberingAfterBreak="0">
    <w:nsid w:val="21377E51"/>
    <w:multiLevelType w:val="hybridMultilevel"/>
    <w:tmpl w:val="55A40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2A4691"/>
    <w:multiLevelType w:val="hybridMultilevel"/>
    <w:tmpl w:val="ED8464B2"/>
    <w:lvl w:ilvl="0" w:tplc="93DA915A">
      <w:start w:val="1"/>
      <w:numFmt w:val="bullet"/>
      <w:lvlText w:val="●"/>
      <w:lvlJc w:val="left"/>
      <w:pPr>
        <w:ind w:left="720" w:hanging="360"/>
      </w:pPr>
    </w:lvl>
    <w:lvl w:ilvl="1" w:tplc="BE8EC2E6">
      <w:start w:val="1"/>
      <w:numFmt w:val="bullet"/>
      <w:lvlText w:val="○"/>
      <w:lvlJc w:val="left"/>
      <w:pPr>
        <w:ind w:left="1440" w:hanging="360"/>
      </w:pPr>
    </w:lvl>
    <w:lvl w:ilvl="2" w:tplc="6860ADFC">
      <w:start w:val="1"/>
      <w:numFmt w:val="bullet"/>
      <w:lvlText w:val="■"/>
      <w:lvlJc w:val="left"/>
      <w:pPr>
        <w:ind w:left="2160" w:hanging="360"/>
      </w:pPr>
    </w:lvl>
    <w:lvl w:ilvl="3" w:tplc="0B0E8E18">
      <w:start w:val="1"/>
      <w:numFmt w:val="bullet"/>
      <w:lvlText w:val="●"/>
      <w:lvlJc w:val="left"/>
      <w:pPr>
        <w:ind w:left="2880" w:hanging="360"/>
      </w:pPr>
    </w:lvl>
    <w:lvl w:ilvl="4" w:tplc="C3DEAE6A">
      <w:start w:val="1"/>
      <w:numFmt w:val="bullet"/>
      <w:lvlText w:val="○"/>
      <w:lvlJc w:val="left"/>
      <w:pPr>
        <w:ind w:left="3600" w:hanging="360"/>
      </w:pPr>
    </w:lvl>
    <w:lvl w:ilvl="5" w:tplc="C6FE8108">
      <w:start w:val="1"/>
      <w:numFmt w:val="bullet"/>
      <w:lvlText w:val="■"/>
      <w:lvlJc w:val="left"/>
      <w:pPr>
        <w:ind w:left="4320" w:hanging="360"/>
      </w:pPr>
    </w:lvl>
    <w:lvl w:ilvl="6" w:tplc="A7F0171A">
      <w:start w:val="1"/>
      <w:numFmt w:val="bullet"/>
      <w:lvlText w:val="●"/>
      <w:lvlJc w:val="left"/>
      <w:pPr>
        <w:ind w:left="5040" w:hanging="360"/>
      </w:pPr>
    </w:lvl>
    <w:lvl w:ilvl="7" w:tplc="B7A47FD6">
      <w:start w:val="1"/>
      <w:numFmt w:val="bullet"/>
      <w:lvlText w:val="●"/>
      <w:lvlJc w:val="left"/>
      <w:pPr>
        <w:ind w:left="5760" w:hanging="360"/>
      </w:pPr>
    </w:lvl>
    <w:lvl w:ilvl="8" w:tplc="BA8E5930">
      <w:start w:val="1"/>
      <w:numFmt w:val="bullet"/>
      <w:lvlText w:val="●"/>
      <w:lvlJc w:val="left"/>
      <w:pPr>
        <w:ind w:left="6480" w:hanging="360"/>
      </w:pPr>
    </w:lvl>
  </w:abstractNum>
  <w:num w:numId="1" w16cid:durableId="1290936918">
    <w:abstractNumId w:val="2"/>
    <w:lvlOverride w:ilvl="0">
      <w:startOverride w:val="1"/>
    </w:lvlOverride>
  </w:num>
  <w:num w:numId="2" w16cid:durableId="1212499035">
    <w:abstractNumId w:val="0"/>
    <w:lvlOverride w:ilvl="0">
      <w:startOverride w:val="1"/>
    </w:lvlOverride>
  </w:num>
  <w:num w:numId="3" w16cid:durableId="2052419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887"/>
    <w:rsid w:val="000003EE"/>
    <w:rsid w:val="001C227F"/>
    <w:rsid w:val="004A0887"/>
    <w:rsid w:val="00671FC1"/>
    <w:rsid w:val="008F069A"/>
    <w:rsid w:val="0090672F"/>
    <w:rsid w:val="00920C7B"/>
    <w:rsid w:val="00983756"/>
    <w:rsid w:val="00A16046"/>
    <w:rsid w:val="00A562BC"/>
    <w:rsid w:val="00AD2FCA"/>
    <w:rsid w:val="00DF6E11"/>
    <w:rsid w:val="00E23F5E"/>
    <w:rsid w:val="00F64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EC128"/>
  <w15:docId w15:val="{5C531648-0B74-4B27-AD36-050FC5D4B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1F4E79"/>
      <w:sz w:val="36"/>
      <w:szCs w:val="36"/>
    </w:rPr>
  </w:style>
  <w:style w:type="paragraph" w:styleId="Heading2">
    <w:name w:val="heading 2"/>
    <w:uiPriority w:val="9"/>
    <w:unhideWhenUsed/>
    <w:qFormat/>
    <w:pPr>
      <w:spacing w:before="280" w:after="120"/>
      <w:outlineLvl w:val="1"/>
    </w:pPr>
    <w:rPr>
      <w:b/>
      <w:bCs/>
      <w:color w:val="1F4E79"/>
      <w:sz w:val="26"/>
      <w:szCs w:val="26"/>
    </w:rPr>
  </w:style>
  <w:style w:type="paragraph" w:styleId="Heading3">
    <w:name w:val="heading 3"/>
    <w:uiPriority w:val="9"/>
    <w:semiHidden/>
    <w:unhideWhenUsed/>
    <w:qFormat/>
    <w:pPr>
      <w:spacing w:before="200" w:after="100"/>
      <w:outlineLvl w:val="2"/>
    </w:pPr>
    <w:rPr>
      <w:b/>
      <w:bCs/>
      <w:color w:val="1F4E7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23F5E"/>
    <w:pPr>
      <w:tabs>
        <w:tab w:val="center" w:pos="4680"/>
        <w:tab w:val="right" w:pos="9360"/>
      </w:tabs>
    </w:pPr>
  </w:style>
  <w:style w:type="character" w:customStyle="1" w:styleId="HeaderChar">
    <w:name w:val="Header Char"/>
    <w:basedOn w:val="DefaultParagraphFont"/>
    <w:link w:val="Header"/>
    <w:uiPriority w:val="99"/>
    <w:rsid w:val="00E23F5E"/>
  </w:style>
  <w:style w:type="paragraph" w:styleId="Footer">
    <w:name w:val="footer"/>
    <w:basedOn w:val="Normal"/>
    <w:link w:val="FooterChar"/>
    <w:uiPriority w:val="99"/>
    <w:unhideWhenUsed/>
    <w:rsid w:val="00E23F5E"/>
    <w:pPr>
      <w:tabs>
        <w:tab w:val="center" w:pos="4680"/>
        <w:tab w:val="right" w:pos="9360"/>
      </w:tabs>
    </w:pPr>
  </w:style>
  <w:style w:type="character" w:customStyle="1" w:styleId="FooterChar">
    <w:name w:val="Footer Char"/>
    <w:basedOn w:val="DefaultParagraphFont"/>
    <w:link w:val="Footer"/>
    <w:uiPriority w:val="99"/>
    <w:rsid w:val="00E23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12</Pages>
  <Words>3513</Words>
  <Characters>20029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CHPIV Compliance Program</vt:lpstr>
    </vt:vector>
  </TitlesOfParts>
  <Company/>
  <LinksUpToDate>false</LinksUpToDate>
  <CharactersWithSpaces>23496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CHPIV Compliance Program</dc:title>
  <dc:creator>CHPIV Compliance Department</dc:creator>
  <cp:lastModifiedBy>Miriam Botello</cp:lastModifiedBy>
  <cp:revision>9</cp:revision>
  <dcterms:created xsi:type="dcterms:W3CDTF">2026-06-01T18:51:00Z</dcterms:created>
  <dcterms:modified xsi:type="dcterms:W3CDTF">2026-08-25T17:54:00Z</dcterms:modified>
</cp:coreProperties>
</file>